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overflowPunct w:val="0"/>
        <w:topLinePunct/>
        <w:spacing w:line="560" w:lineRule="exact"/>
        <w:jc w:val="center"/>
        <w:rPr>
          <w:rFonts w:eastAsia="方正小标宋简体"/>
          <w:bCs/>
          <w:color w:val="000000" w:themeColor="text1"/>
          <w:spacing w:val="0"/>
          <w:sz w:val="44"/>
          <w:szCs w:val="44"/>
          <w14:textFill>
            <w14:solidFill>
              <w14:schemeClr w14:val="tx1"/>
            </w14:solidFill>
          </w14:textFill>
        </w:rPr>
      </w:pPr>
      <w:r>
        <w:rPr>
          <w:rFonts w:hint="eastAsia" w:eastAsia="方正小标宋简体"/>
          <w:bCs/>
          <w:color w:val="000000" w:themeColor="text1"/>
          <w:spacing w:val="0"/>
          <w:sz w:val="44"/>
          <w:szCs w:val="44"/>
          <w14:textFill>
            <w14:solidFill>
              <w14:schemeClr w14:val="tx1"/>
            </w14:solidFill>
          </w14:textFill>
        </w:rPr>
        <w:t>四川省</w:t>
      </w:r>
      <w:r>
        <w:rPr>
          <w:rFonts w:hint="eastAsia" w:eastAsia="方正小标宋简体" w:cs="宋体"/>
          <w:bCs/>
          <w:color w:val="000000" w:themeColor="text1"/>
          <w:spacing w:val="0"/>
          <w:sz w:val="44"/>
          <w:szCs w:val="44"/>
          <w14:textFill>
            <w14:solidFill>
              <w14:schemeClr w14:val="tx1"/>
            </w14:solidFill>
          </w14:textFill>
        </w:rPr>
        <w:t>重点行业</w:t>
      </w:r>
      <w:r>
        <w:rPr>
          <w:rFonts w:hint="eastAsia" w:eastAsia="方正小标宋简体"/>
          <w:bCs/>
          <w:color w:val="000000" w:themeColor="text1"/>
          <w:spacing w:val="0"/>
          <w:sz w:val="44"/>
          <w:szCs w:val="44"/>
          <w14:textFill>
            <w14:solidFill>
              <w14:schemeClr w14:val="tx1"/>
            </w14:solidFill>
          </w14:textFill>
        </w:rPr>
        <w:t>重金属污染物排放指标</w:t>
      </w:r>
    </w:p>
    <w:p>
      <w:pPr>
        <w:overflowPunct w:val="0"/>
        <w:topLinePunct/>
        <w:spacing w:line="560" w:lineRule="exact"/>
        <w:jc w:val="center"/>
        <w:rPr>
          <w:rFonts w:eastAsia="方正小标宋简体"/>
          <w:bCs/>
          <w:color w:val="000000" w:themeColor="text1"/>
          <w:spacing w:val="0"/>
          <w:sz w:val="44"/>
          <w:szCs w:val="44"/>
          <w14:textFill>
            <w14:solidFill>
              <w14:schemeClr w14:val="tx1"/>
            </w14:solidFill>
          </w14:textFill>
        </w:rPr>
      </w:pPr>
      <w:r>
        <w:rPr>
          <w:rFonts w:hint="eastAsia" w:eastAsia="方正小标宋简体"/>
          <w:bCs/>
          <w:color w:val="000000" w:themeColor="text1"/>
          <w:spacing w:val="0"/>
          <w:sz w:val="44"/>
          <w:szCs w:val="44"/>
          <w14:textFill>
            <w14:solidFill>
              <w14:schemeClr w14:val="tx1"/>
            </w14:solidFill>
          </w14:textFill>
        </w:rPr>
        <w:t>管理办法（试行）</w:t>
      </w:r>
    </w:p>
    <w:p>
      <w:pPr>
        <w:overflowPunct w:val="0"/>
        <w:topLinePunct/>
        <w:spacing w:line="560" w:lineRule="exact"/>
        <w:jc w:val="center"/>
        <w:outlineLvl w:val="0"/>
        <w:rPr>
          <w:rFonts w:eastAsia="楷体_GB2312" w:cs="仿宋"/>
          <w:bCs/>
          <w:color w:val="000000" w:themeColor="text1"/>
          <w:spacing w:val="0"/>
          <w:szCs w:val="32"/>
          <w14:textFill>
            <w14:solidFill>
              <w14:schemeClr w14:val="tx1"/>
            </w14:solidFill>
          </w14:textFill>
        </w:rPr>
      </w:pPr>
    </w:p>
    <w:p>
      <w:pPr>
        <w:overflowPunct w:val="0"/>
        <w:topLinePunct/>
        <w:spacing w:line="560" w:lineRule="exact"/>
        <w:jc w:val="center"/>
        <w:rPr>
          <w:rFonts w:eastAsia="黑体" w:cs="黑体"/>
          <w:bCs/>
          <w:color w:val="000000" w:themeColor="text1"/>
          <w:spacing w:val="0"/>
          <w:kern w:val="0"/>
          <w:szCs w:val="32"/>
          <w14:textFill>
            <w14:solidFill>
              <w14:schemeClr w14:val="tx1"/>
            </w14:solidFill>
          </w14:textFill>
        </w:rPr>
      </w:pPr>
      <w:r>
        <w:rPr>
          <w:rFonts w:hint="eastAsia" w:eastAsia="黑体" w:cs="黑体"/>
          <w:bCs/>
          <w:color w:val="000000" w:themeColor="text1"/>
          <w:spacing w:val="0"/>
          <w:kern w:val="0"/>
          <w:szCs w:val="32"/>
          <w14:textFill>
            <w14:solidFill>
              <w14:schemeClr w14:val="tx1"/>
            </w14:solidFill>
          </w14:textFill>
        </w:rPr>
        <w:t xml:space="preserve">第一章 总 </w:t>
      </w:r>
      <w:r>
        <w:rPr>
          <w:rFonts w:eastAsia="黑体" w:cs="黑体"/>
          <w:bCs/>
          <w:color w:val="000000" w:themeColor="text1"/>
          <w:spacing w:val="0"/>
          <w:kern w:val="0"/>
          <w:szCs w:val="32"/>
          <w14:textFill>
            <w14:solidFill>
              <w14:schemeClr w14:val="tx1"/>
            </w14:solidFill>
          </w14:textFill>
        </w:rPr>
        <w:t xml:space="preserve"> </w:t>
      </w:r>
      <w:r>
        <w:rPr>
          <w:rFonts w:hint="eastAsia" w:eastAsia="黑体" w:cs="黑体"/>
          <w:bCs/>
          <w:color w:val="000000" w:themeColor="text1"/>
          <w:spacing w:val="0"/>
          <w:kern w:val="0"/>
          <w:szCs w:val="32"/>
          <w14:textFill>
            <w14:solidFill>
              <w14:schemeClr w14:val="tx1"/>
            </w14:solidFill>
          </w14:textFill>
        </w:rPr>
        <w:t>则</w:t>
      </w:r>
    </w:p>
    <w:p>
      <w:pPr>
        <w:overflowPunct w:val="0"/>
        <w:topLinePunct/>
        <w:adjustRightInd w:val="0"/>
        <w:spacing w:line="560" w:lineRule="exact"/>
        <w:ind w:firstLine="629" w:firstLineChars="196"/>
        <w:rPr>
          <w:rFonts w:cs="仿宋"/>
          <w:bCs/>
          <w:color w:val="000000" w:themeColor="text1"/>
          <w:spacing w:val="0"/>
          <w:kern w:val="0"/>
          <w:szCs w:val="32"/>
          <w14:textFill>
            <w14:solidFill>
              <w14:schemeClr w14:val="tx1"/>
            </w14:solidFill>
          </w14:textFill>
        </w:rPr>
      </w:pPr>
      <w:r>
        <w:rPr>
          <w:rFonts w:hint="eastAsia" w:eastAsia="楷体_GB2312" w:cs="楷体"/>
          <w:b/>
          <w:bCs/>
          <w:color w:val="000000" w:themeColor="text1"/>
          <w:spacing w:val="0"/>
          <w:szCs w:val="32"/>
          <w14:textFill>
            <w14:solidFill>
              <w14:schemeClr w14:val="tx1"/>
            </w14:solidFill>
          </w14:textFill>
        </w:rPr>
        <w:t>第一条</w:t>
      </w:r>
      <w:r>
        <w:rPr>
          <w:rFonts w:hint="eastAsia" w:eastAsia="楷体_GB2312" w:cs="楷体"/>
          <w:bCs/>
          <w:color w:val="000000" w:themeColor="text1"/>
          <w:spacing w:val="0"/>
          <w:szCs w:val="32"/>
          <w14:textFill>
            <w14:solidFill>
              <w14:schemeClr w14:val="tx1"/>
            </w14:solidFill>
          </w14:textFill>
        </w:rPr>
        <w:t xml:space="preserve"> </w:t>
      </w:r>
      <w:r>
        <w:rPr>
          <w:rFonts w:hint="eastAsia" w:cs="仿宋"/>
          <w:bCs/>
          <w:color w:val="000000" w:themeColor="text1"/>
          <w:spacing w:val="0"/>
          <w:szCs w:val="32"/>
          <w14:textFill>
            <w14:solidFill>
              <w14:schemeClr w14:val="tx1"/>
            </w14:solidFill>
          </w14:textFill>
        </w:rPr>
        <w:t>为改善区域环境质量，</w:t>
      </w:r>
      <w:r>
        <w:rPr>
          <w:rFonts w:hint="eastAsia" w:cs="仿宋"/>
          <w:bCs/>
          <w:color w:val="000000" w:themeColor="text1"/>
          <w:spacing w:val="0"/>
          <w:kern w:val="0"/>
          <w:szCs w:val="32"/>
          <w14:textFill>
            <w14:solidFill>
              <w14:schemeClr w14:val="tx1"/>
            </w14:solidFill>
          </w14:textFill>
        </w:rPr>
        <w:t>规范涉重金属重点行业（以下简称“重点行业”）重金属污染物排放指标管理，严控新增重金属污染物排放量，根据《关于加强涉重金属行业污染防控的意见》《关于构建以排污许可制为核心的固定污染源监管制度体系实施方案》《重点重金属污染物排放量控制目标完成情况评估细则（试行）》等文件要求，制定本办法。</w:t>
      </w:r>
    </w:p>
    <w:p>
      <w:pPr>
        <w:overflowPunct w:val="0"/>
        <w:topLinePunct/>
        <w:adjustRightInd w:val="0"/>
        <w:spacing w:line="560" w:lineRule="exact"/>
        <w:ind w:firstLine="629" w:firstLineChars="196"/>
        <w:rPr>
          <w:rFonts w:cs="仿宋"/>
          <w:bCs/>
          <w:color w:val="000000" w:themeColor="text1"/>
          <w:spacing w:val="0"/>
          <w:kern w:val="0"/>
          <w:szCs w:val="32"/>
          <w14:textFill>
            <w14:solidFill>
              <w14:schemeClr w14:val="tx1"/>
            </w14:solidFill>
          </w14:textFill>
        </w:rPr>
      </w:pPr>
      <w:r>
        <w:rPr>
          <w:rFonts w:hint="eastAsia" w:eastAsia="楷体_GB2312" w:cs="楷体"/>
          <w:b/>
          <w:bCs/>
          <w:color w:val="000000" w:themeColor="text1"/>
          <w:spacing w:val="0"/>
          <w:szCs w:val="32"/>
          <w14:textFill>
            <w14:solidFill>
              <w14:schemeClr w14:val="tx1"/>
            </w14:solidFill>
          </w14:textFill>
        </w:rPr>
        <w:t xml:space="preserve">第二条 </w:t>
      </w:r>
      <w:r>
        <w:rPr>
          <w:rFonts w:hint="eastAsia" w:cs="仿宋"/>
          <w:bCs/>
          <w:color w:val="000000" w:themeColor="text1"/>
          <w:spacing w:val="0"/>
          <w:kern w:val="0"/>
          <w:szCs w:val="32"/>
          <w14:textFill>
            <w14:solidFill>
              <w14:schemeClr w14:val="tx1"/>
            </w14:solidFill>
          </w14:textFill>
        </w:rPr>
        <w:t>本办法适用于四川省内重点行业排污单位重金属污染物排放指标管理。</w:t>
      </w:r>
    </w:p>
    <w:p>
      <w:pPr>
        <w:overflowPunct w:val="0"/>
        <w:topLinePunct/>
        <w:adjustRightInd w:val="0"/>
        <w:spacing w:line="560" w:lineRule="exact"/>
        <w:ind w:firstLine="627" w:firstLineChars="196"/>
        <w:rPr>
          <w:rFonts w:cs="仿宋"/>
          <w:bCs/>
          <w:color w:val="000000" w:themeColor="text1"/>
          <w:spacing w:val="0"/>
          <w:kern w:val="0"/>
          <w:szCs w:val="32"/>
          <w14:textFill>
            <w14:solidFill>
              <w14:schemeClr w14:val="tx1"/>
            </w14:solidFill>
          </w14:textFill>
        </w:rPr>
      </w:pPr>
      <w:r>
        <w:rPr>
          <w:rFonts w:hint="eastAsia" w:cs="仿宋"/>
          <w:bCs/>
          <w:color w:val="000000" w:themeColor="text1"/>
          <w:spacing w:val="0"/>
          <w:kern w:val="0"/>
          <w:szCs w:val="32"/>
          <w14:textFill>
            <w14:solidFill>
              <w14:schemeClr w14:val="tx1"/>
            </w14:solidFill>
          </w14:textFill>
        </w:rPr>
        <w:t>非重点行业排污单位重金属污染物排放指标管理，可由各市（州）生态环境部门根据国家相关管理要求，结合区域实际自行制定管理办法。</w:t>
      </w:r>
    </w:p>
    <w:p>
      <w:pPr>
        <w:overflowPunct w:val="0"/>
        <w:topLinePunct/>
        <w:adjustRightInd w:val="0"/>
        <w:spacing w:line="560" w:lineRule="exact"/>
        <w:ind w:firstLine="629" w:firstLineChars="196"/>
        <w:rPr>
          <w:rFonts w:cs="仿宋"/>
          <w:bCs/>
          <w:color w:val="000000" w:themeColor="text1"/>
          <w:spacing w:val="0"/>
          <w:kern w:val="0"/>
          <w:szCs w:val="32"/>
          <w14:textFill>
            <w14:solidFill>
              <w14:schemeClr w14:val="tx1"/>
            </w14:solidFill>
          </w14:textFill>
        </w:rPr>
      </w:pPr>
      <w:r>
        <w:rPr>
          <w:rFonts w:hint="eastAsia" w:eastAsia="楷体_GB2312" w:cs="楷体"/>
          <w:b/>
          <w:bCs/>
          <w:color w:val="000000" w:themeColor="text1"/>
          <w:spacing w:val="0"/>
          <w:szCs w:val="32"/>
          <w14:textFill>
            <w14:solidFill>
              <w14:schemeClr w14:val="tx1"/>
            </w14:solidFill>
          </w14:textFill>
        </w:rPr>
        <w:t xml:space="preserve">第三条 </w:t>
      </w:r>
      <w:r>
        <w:rPr>
          <w:rFonts w:hint="eastAsia" w:cs="仿宋"/>
          <w:bCs/>
          <w:color w:val="000000" w:themeColor="text1"/>
          <w:spacing w:val="0"/>
          <w:kern w:val="0"/>
          <w:szCs w:val="32"/>
          <w14:textFill>
            <w14:solidFill>
              <w14:schemeClr w14:val="tx1"/>
            </w14:solidFill>
          </w14:textFill>
        </w:rPr>
        <w:t>重点行业包括重有色金属矿（含伴生矿）采选业（铜、铅锌、镍钴、锡、锑和汞矿采选等）、重有色金属冶炼业（铜、铅锌、镍钴、锡、锑、汞冶炼和前述金属再生冶炼等）、铅蓄电池制造业、皮革及其制品业（皮革鞣制加工等）、化学原料及化学制品制造业（电石法聚氯乙烯制造、铬盐制造、以工业固废为原料的锌无机化合物工业等）、电镀行业。</w:t>
      </w:r>
    </w:p>
    <w:p>
      <w:pPr>
        <w:overflowPunct w:val="0"/>
        <w:topLinePunct/>
        <w:adjustRightInd w:val="0"/>
        <w:spacing w:line="560" w:lineRule="exact"/>
        <w:ind w:firstLine="627" w:firstLineChars="196"/>
        <w:rPr>
          <w:rFonts w:cs="仿宋"/>
          <w:bCs/>
          <w:color w:val="000000" w:themeColor="text1"/>
          <w:spacing w:val="0"/>
          <w:kern w:val="0"/>
          <w:szCs w:val="32"/>
          <w14:textFill>
            <w14:solidFill>
              <w14:schemeClr w14:val="tx1"/>
            </w14:solidFill>
          </w14:textFill>
        </w:rPr>
      </w:pPr>
      <w:r>
        <w:rPr>
          <w:rFonts w:hint="eastAsia" w:cs="仿宋"/>
          <w:bCs/>
          <w:color w:val="000000" w:themeColor="text1"/>
          <w:spacing w:val="0"/>
          <w:kern w:val="0"/>
          <w:szCs w:val="32"/>
          <w14:textFill>
            <w14:solidFill>
              <w14:schemeClr w14:val="tx1"/>
            </w14:solidFill>
          </w14:textFill>
        </w:rPr>
        <w:t>重金属污染物排放指标是指重点行业项目所涉及的废水、废气中铅、汞、镉、铬和类金属砷五种重金属污染物排放总量。</w:t>
      </w:r>
    </w:p>
    <w:p>
      <w:pPr>
        <w:overflowPunct w:val="0"/>
        <w:topLinePunct/>
        <w:spacing w:line="560" w:lineRule="exact"/>
        <w:ind w:firstLine="629" w:firstLineChars="196"/>
        <w:rPr>
          <w:rFonts w:cs="仿宋"/>
          <w:bCs/>
          <w:color w:val="000000" w:themeColor="text1"/>
          <w:spacing w:val="0"/>
          <w:szCs w:val="32"/>
          <w14:textFill>
            <w14:solidFill>
              <w14:schemeClr w14:val="tx1"/>
            </w14:solidFill>
          </w14:textFill>
        </w:rPr>
      </w:pPr>
      <w:r>
        <w:rPr>
          <w:rFonts w:hint="eastAsia" w:eastAsia="楷体_GB2312" w:cs="楷体"/>
          <w:b/>
          <w:bCs/>
          <w:color w:val="000000" w:themeColor="text1"/>
          <w:spacing w:val="0"/>
          <w:szCs w:val="32"/>
          <w14:textFill>
            <w14:solidFill>
              <w14:schemeClr w14:val="tx1"/>
            </w14:solidFill>
          </w14:textFill>
        </w:rPr>
        <w:t xml:space="preserve">第四条 </w:t>
      </w:r>
      <w:r>
        <w:rPr>
          <w:rFonts w:hint="eastAsia" w:cs="仿宋"/>
          <w:bCs/>
          <w:color w:val="000000" w:themeColor="text1"/>
          <w:spacing w:val="0"/>
          <w:kern w:val="0"/>
          <w:szCs w:val="32"/>
          <w14:textFill>
            <w14:solidFill>
              <w14:schemeClr w14:val="tx1"/>
            </w14:solidFill>
          </w14:textFill>
        </w:rPr>
        <w:t>新、改（扩）建重点行业建设项目应遵循重金属污染物排放“减量置换”或“等量替换”的原则。建设单位提交环境影响评价文件时，应明确新增重金属污染物排放指标来源。</w:t>
      </w:r>
    </w:p>
    <w:p>
      <w:pPr>
        <w:overflowPunct w:val="0"/>
        <w:topLinePunct/>
        <w:spacing w:line="560" w:lineRule="exact"/>
        <w:jc w:val="center"/>
        <w:rPr>
          <w:rFonts w:eastAsia="黑体" w:cs="黑体"/>
          <w:bCs/>
          <w:color w:val="000000" w:themeColor="text1"/>
          <w:spacing w:val="0"/>
          <w:kern w:val="0"/>
          <w:szCs w:val="32"/>
          <w14:textFill>
            <w14:solidFill>
              <w14:schemeClr w14:val="tx1"/>
            </w14:solidFill>
          </w14:textFill>
        </w:rPr>
      </w:pPr>
    </w:p>
    <w:p>
      <w:pPr>
        <w:overflowPunct w:val="0"/>
        <w:topLinePunct/>
        <w:spacing w:line="560" w:lineRule="exact"/>
        <w:jc w:val="center"/>
        <w:rPr>
          <w:rFonts w:eastAsia="黑体" w:cs="黑体"/>
          <w:bCs/>
          <w:color w:val="000000" w:themeColor="text1"/>
          <w:spacing w:val="0"/>
          <w:kern w:val="0"/>
          <w:szCs w:val="32"/>
          <w14:textFill>
            <w14:solidFill>
              <w14:schemeClr w14:val="tx1"/>
            </w14:solidFill>
          </w14:textFill>
        </w:rPr>
      </w:pPr>
      <w:r>
        <w:rPr>
          <w:rFonts w:hint="eastAsia" w:eastAsia="黑体" w:cs="黑体"/>
          <w:bCs/>
          <w:color w:val="000000" w:themeColor="text1"/>
          <w:spacing w:val="0"/>
          <w:kern w:val="0"/>
          <w:szCs w:val="32"/>
          <w14:textFill>
            <w14:solidFill>
              <w14:schemeClr w14:val="tx1"/>
            </w14:solidFill>
          </w14:textFill>
        </w:rPr>
        <w:t>第二章 指标来源与变更记录</w:t>
      </w:r>
    </w:p>
    <w:p>
      <w:pPr>
        <w:overflowPunct w:val="0"/>
        <w:topLinePunct/>
        <w:adjustRightInd w:val="0"/>
        <w:spacing w:line="560" w:lineRule="exact"/>
        <w:ind w:firstLine="629" w:firstLineChars="196"/>
        <w:rPr>
          <w:rFonts w:cs="仿宋"/>
          <w:bCs/>
          <w:color w:val="000000" w:themeColor="text1"/>
          <w:spacing w:val="0"/>
          <w:kern w:val="0"/>
          <w:szCs w:val="32"/>
          <w14:textFill>
            <w14:solidFill>
              <w14:schemeClr w14:val="tx1"/>
            </w14:solidFill>
          </w14:textFill>
        </w:rPr>
      </w:pPr>
      <w:r>
        <w:rPr>
          <w:rFonts w:hint="eastAsia" w:eastAsia="楷体_GB2312" w:cs="楷体"/>
          <w:b/>
          <w:bCs/>
          <w:color w:val="000000" w:themeColor="text1"/>
          <w:spacing w:val="0"/>
          <w:szCs w:val="32"/>
          <w14:textFill>
            <w14:solidFill>
              <w14:schemeClr w14:val="tx1"/>
            </w14:solidFill>
          </w14:textFill>
        </w:rPr>
        <w:t xml:space="preserve">第五条 </w:t>
      </w:r>
      <w:r>
        <w:rPr>
          <w:rFonts w:hint="eastAsia" w:cs="仿宋"/>
          <w:bCs/>
          <w:color w:val="000000" w:themeColor="text1"/>
          <w:spacing w:val="0"/>
          <w:kern w:val="0"/>
          <w:szCs w:val="32"/>
          <w14:textFill>
            <w14:solidFill>
              <w14:schemeClr w14:val="tx1"/>
            </w14:solidFill>
          </w14:textFill>
        </w:rPr>
        <w:t>重点行业排污单位实施淘汰落后产能、工艺提升改造、清洁生产技术改造、执行特别排放限值、原料替代等措施或工程，形成的以下</w:t>
      </w:r>
      <w:r>
        <w:rPr>
          <w:rFonts w:hint="eastAsia" w:cs="楷体"/>
          <w:bCs/>
          <w:color w:val="000000" w:themeColor="text1"/>
          <w:spacing w:val="0"/>
          <w:szCs w:val="32"/>
          <w14:textFill>
            <w14:solidFill>
              <w14:schemeClr w14:val="tx1"/>
            </w14:solidFill>
          </w14:textFill>
        </w:rPr>
        <w:t>重金属污染物削减量</w:t>
      </w:r>
      <w:r>
        <w:rPr>
          <w:rFonts w:hint="eastAsia" w:cs="仿宋"/>
          <w:bCs/>
          <w:color w:val="000000" w:themeColor="text1"/>
          <w:spacing w:val="0"/>
          <w:kern w:val="0"/>
          <w:szCs w:val="32"/>
          <w14:textFill>
            <w14:solidFill>
              <w14:schemeClr w14:val="tx1"/>
            </w14:solidFill>
          </w14:textFill>
        </w:rPr>
        <w:t>可</w:t>
      </w:r>
      <w:r>
        <w:rPr>
          <w:rFonts w:hint="eastAsia" w:cs="楷体"/>
          <w:bCs/>
          <w:color w:val="000000" w:themeColor="text1"/>
          <w:spacing w:val="0"/>
          <w:szCs w:val="32"/>
          <w14:textFill>
            <w14:solidFill>
              <w14:schemeClr w14:val="tx1"/>
            </w14:solidFill>
          </w14:textFill>
        </w:rPr>
        <w:t>作为指标来源。</w:t>
      </w:r>
    </w:p>
    <w:p>
      <w:pPr>
        <w:overflowPunct w:val="0"/>
        <w:topLinePunct/>
        <w:adjustRightInd w:val="0"/>
        <w:spacing w:line="560" w:lineRule="exact"/>
        <w:ind w:firstLine="627" w:firstLineChars="196"/>
        <w:rPr>
          <w:rFonts w:cs="仿宋"/>
          <w:bCs/>
          <w:color w:val="000000" w:themeColor="text1"/>
          <w:spacing w:val="0"/>
          <w:kern w:val="0"/>
          <w:szCs w:val="32"/>
          <w14:textFill>
            <w14:solidFill>
              <w14:schemeClr w14:val="tx1"/>
            </w14:solidFill>
          </w14:textFill>
        </w:rPr>
      </w:pPr>
      <w:r>
        <w:rPr>
          <w:rFonts w:hint="eastAsia" w:cs="楷体"/>
          <w:bCs/>
          <w:color w:val="000000" w:themeColor="text1"/>
          <w:spacing w:val="0"/>
          <w:szCs w:val="32"/>
          <w14:textFill>
            <w14:solidFill>
              <w14:schemeClr w14:val="tx1"/>
            </w14:solidFill>
          </w14:textFill>
        </w:rPr>
        <w:t>（一）</w:t>
      </w:r>
      <w:r>
        <w:rPr>
          <w:rFonts w:hint="eastAsia" w:cs="仿宋"/>
          <w:bCs/>
          <w:color w:val="000000" w:themeColor="text1"/>
          <w:spacing w:val="0"/>
          <w:kern w:val="0"/>
          <w:szCs w:val="32"/>
          <w14:textFill>
            <w14:solidFill>
              <w14:schemeClr w14:val="tx1"/>
            </w14:solidFill>
          </w14:textFill>
        </w:rPr>
        <w:t>已领取排污许可证的排污单位</w:t>
      </w:r>
    </w:p>
    <w:p>
      <w:pPr>
        <w:overflowPunct w:val="0"/>
        <w:topLinePunct/>
        <w:adjustRightInd w:val="0"/>
        <w:spacing w:line="560" w:lineRule="exact"/>
        <w:ind w:firstLine="627" w:firstLineChars="196"/>
        <w:rPr>
          <w:rFonts w:cs="仿宋"/>
          <w:bCs/>
          <w:color w:val="000000" w:themeColor="text1"/>
          <w:spacing w:val="0"/>
          <w:kern w:val="0"/>
          <w:szCs w:val="32"/>
          <w14:textFill>
            <w14:solidFill>
              <w14:schemeClr w14:val="tx1"/>
            </w14:solidFill>
          </w14:textFill>
        </w:rPr>
      </w:pPr>
      <w:r>
        <w:rPr>
          <w:rFonts w:hint="eastAsia" w:cs="仿宋"/>
          <w:bCs/>
          <w:color w:val="000000" w:themeColor="text1"/>
          <w:spacing w:val="0"/>
          <w:kern w:val="0"/>
          <w:szCs w:val="32"/>
          <w14:textFill>
            <w14:solidFill>
              <w14:schemeClr w14:val="tx1"/>
            </w14:solidFill>
          </w14:textFill>
        </w:rPr>
        <w:t>1．在产企业（生产线）减排项目实施后形成的许可排放量的差值；</w:t>
      </w:r>
    </w:p>
    <w:p>
      <w:pPr>
        <w:overflowPunct w:val="0"/>
        <w:topLinePunct/>
        <w:adjustRightInd w:val="0"/>
        <w:spacing w:line="560" w:lineRule="exact"/>
        <w:ind w:firstLine="627" w:firstLineChars="196"/>
        <w:rPr>
          <w:rFonts w:cs="仿宋"/>
          <w:bCs/>
          <w:color w:val="000000" w:themeColor="text1"/>
          <w:spacing w:val="0"/>
          <w:kern w:val="0"/>
          <w:szCs w:val="32"/>
          <w14:textFill>
            <w14:solidFill>
              <w14:schemeClr w14:val="tx1"/>
            </w14:solidFill>
          </w14:textFill>
        </w:rPr>
      </w:pPr>
      <w:r>
        <w:rPr>
          <w:rFonts w:hint="eastAsia" w:cs="仿宋"/>
          <w:bCs/>
          <w:color w:val="000000" w:themeColor="text1"/>
          <w:spacing w:val="0"/>
          <w:kern w:val="0"/>
          <w:szCs w:val="32"/>
          <w14:textFill>
            <w14:solidFill>
              <w14:schemeClr w14:val="tx1"/>
            </w14:solidFill>
          </w14:textFill>
        </w:rPr>
        <w:t>2．排污单位（生产线）关停后排污许可证注销的有效许可排放量。</w:t>
      </w:r>
    </w:p>
    <w:p>
      <w:pPr>
        <w:overflowPunct w:val="0"/>
        <w:topLinePunct/>
        <w:adjustRightInd w:val="0"/>
        <w:spacing w:line="560" w:lineRule="exact"/>
        <w:ind w:firstLine="640" w:firstLineChars="200"/>
        <w:rPr>
          <w:rFonts w:cs="仿宋"/>
          <w:bCs/>
          <w:color w:val="000000" w:themeColor="text1"/>
          <w:spacing w:val="0"/>
          <w:kern w:val="0"/>
          <w:szCs w:val="32"/>
          <w14:textFill>
            <w14:solidFill>
              <w14:schemeClr w14:val="tx1"/>
            </w14:solidFill>
          </w14:textFill>
        </w:rPr>
      </w:pPr>
      <w:r>
        <w:rPr>
          <w:rFonts w:hint="eastAsia" w:cs="仿宋"/>
          <w:bCs/>
          <w:color w:val="000000" w:themeColor="text1"/>
          <w:spacing w:val="0"/>
          <w:kern w:val="0"/>
          <w:szCs w:val="32"/>
          <w14:textFill>
            <w14:solidFill>
              <w14:schemeClr w14:val="tx1"/>
            </w14:solidFill>
          </w14:textFill>
        </w:rPr>
        <w:t>（二）未取得排污许可证或属于排污许可登记管理的排污单位</w:t>
      </w:r>
    </w:p>
    <w:p>
      <w:pPr>
        <w:overflowPunct w:val="0"/>
        <w:topLinePunct/>
        <w:adjustRightInd w:val="0"/>
        <w:spacing w:line="560" w:lineRule="exact"/>
        <w:ind w:firstLine="640" w:firstLineChars="200"/>
        <w:rPr>
          <w:rFonts w:cs="仿宋"/>
          <w:bCs/>
          <w:color w:val="000000" w:themeColor="text1"/>
          <w:spacing w:val="0"/>
          <w:kern w:val="0"/>
          <w:szCs w:val="32"/>
          <w14:textFill>
            <w14:solidFill>
              <w14:schemeClr w14:val="tx1"/>
            </w14:solidFill>
          </w14:textFill>
        </w:rPr>
      </w:pPr>
      <w:r>
        <w:rPr>
          <w:rFonts w:hint="eastAsia" w:cs="仿宋"/>
          <w:bCs/>
          <w:color w:val="000000" w:themeColor="text1"/>
          <w:spacing w:val="0"/>
          <w:kern w:val="0"/>
          <w:szCs w:val="32"/>
          <w14:textFill>
            <w14:solidFill>
              <w14:schemeClr w14:val="tx1"/>
            </w14:solidFill>
          </w14:textFill>
        </w:rPr>
        <w:t>1．减排项目实施前后环境影响评价文件及批复确定的许可排放量的差值；</w:t>
      </w:r>
    </w:p>
    <w:p>
      <w:pPr>
        <w:overflowPunct w:val="0"/>
        <w:topLinePunct/>
        <w:adjustRightInd w:val="0"/>
        <w:spacing w:line="560" w:lineRule="exact"/>
        <w:ind w:firstLine="627" w:firstLineChars="196"/>
        <w:rPr>
          <w:rFonts w:cs="仿宋"/>
          <w:bCs/>
          <w:color w:val="000000" w:themeColor="text1"/>
          <w:spacing w:val="0"/>
          <w:kern w:val="0"/>
          <w:szCs w:val="32"/>
          <w14:textFill>
            <w14:solidFill>
              <w14:schemeClr w14:val="tx1"/>
            </w14:solidFill>
          </w14:textFill>
        </w:rPr>
      </w:pPr>
      <w:r>
        <w:rPr>
          <w:rFonts w:hint="eastAsia" w:cs="仿宋"/>
          <w:bCs/>
          <w:color w:val="000000" w:themeColor="text1"/>
          <w:spacing w:val="0"/>
          <w:kern w:val="0"/>
          <w:szCs w:val="32"/>
          <w14:textFill>
            <w14:solidFill>
              <w14:schemeClr w14:val="tx1"/>
            </w14:solidFill>
          </w14:textFill>
        </w:rPr>
        <w:t>2．环境影响评价文件及批复未规定排放量、以及实施环境影响评价备案的减排项目通过可行性研究报告、初步设计文件等资料论证</w:t>
      </w:r>
      <w:r>
        <w:rPr>
          <w:rFonts w:hint="eastAsia" w:cs="楷体"/>
          <w:bCs/>
          <w:color w:val="000000" w:themeColor="text1"/>
          <w:spacing w:val="0"/>
          <w:szCs w:val="32"/>
          <w14:textFill>
            <w14:solidFill>
              <w14:schemeClr w14:val="tx1"/>
            </w14:solidFill>
          </w14:textFill>
        </w:rPr>
        <w:t>的</w:t>
      </w:r>
      <w:r>
        <w:rPr>
          <w:rFonts w:hint="eastAsia" w:cs="仿宋"/>
          <w:bCs/>
          <w:color w:val="000000" w:themeColor="text1"/>
          <w:spacing w:val="0"/>
          <w:kern w:val="0"/>
          <w:szCs w:val="32"/>
          <w14:textFill>
            <w14:solidFill>
              <w14:schemeClr w14:val="tx1"/>
            </w14:solidFill>
          </w14:textFill>
        </w:rPr>
        <w:t>削减量。</w:t>
      </w:r>
    </w:p>
    <w:p>
      <w:pPr>
        <w:overflowPunct w:val="0"/>
        <w:topLinePunct/>
        <w:adjustRightInd w:val="0"/>
        <w:spacing w:line="560" w:lineRule="exact"/>
        <w:ind w:firstLine="627" w:firstLineChars="196"/>
        <w:rPr>
          <w:rFonts w:cs="仿宋"/>
          <w:bCs/>
          <w:color w:val="000000" w:themeColor="text1"/>
          <w:spacing w:val="0"/>
          <w:kern w:val="0"/>
          <w:szCs w:val="32"/>
          <w14:textFill>
            <w14:solidFill>
              <w14:schemeClr w14:val="tx1"/>
            </w14:solidFill>
          </w14:textFill>
        </w:rPr>
      </w:pPr>
      <w:r>
        <w:rPr>
          <w:rFonts w:hint="eastAsia" w:cs="仿宋"/>
          <w:bCs/>
          <w:color w:val="000000" w:themeColor="text1"/>
          <w:spacing w:val="0"/>
          <w:kern w:val="0"/>
          <w:szCs w:val="32"/>
          <w14:textFill>
            <w14:solidFill>
              <w14:schemeClr w14:val="tx1"/>
            </w14:solidFill>
          </w14:textFill>
        </w:rPr>
        <w:t>若排污单位涉及多条生产线，不属于重点行业生产线形成的重金属污染物削减量不可作为指标来源。</w:t>
      </w:r>
    </w:p>
    <w:p>
      <w:pPr>
        <w:overflowPunct w:val="0"/>
        <w:topLinePunct/>
        <w:adjustRightInd w:val="0"/>
        <w:snapToGrid w:val="0"/>
        <w:spacing w:line="560" w:lineRule="exact"/>
        <w:ind w:firstLine="642" w:firstLineChars="200"/>
        <w:rPr>
          <w:rFonts w:cs="仿宋"/>
          <w:bCs/>
          <w:color w:val="000000" w:themeColor="text1"/>
          <w:spacing w:val="0"/>
          <w:kern w:val="0"/>
          <w:szCs w:val="32"/>
          <w14:textFill>
            <w14:solidFill>
              <w14:schemeClr w14:val="tx1"/>
            </w14:solidFill>
          </w14:textFill>
        </w:rPr>
      </w:pPr>
      <w:r>
        <w:rPr>
          <w:rFonts w:hint="eastAsia" w:eastAsia="楷体_GB2312" w:cs="楷体"/>
          <w:b/>
          <w:bCs/>
          <w:color w:val="000000" w:themeColor="text1"/>
          <w:spacing w:val="0"/>
          <w:szCs w:val="32"/>
          <w14:textFill>
            <w14:solidFill>
              <w14:schemeClr w14:val="tx1"/>
            </w14:solidFill>
          </w14:textFill>
        </w:rPr>
        <w:t xml:space="preserve">第六条 </w:t>
      </w:r>
      <w:r>
        <w:rPr>
          <w:rFonts w:hint="eastAsia" w:cs="仿宋"/>
          <w:bCs/>
          <w:color w:val="000000" w:themeColor="text1"/>
          <w:spacing w:val="0"/>
          <w:kern w:val="0"/>
          <w:szCs w:val="32"/>
          <w14:textFill>
            <w14:solidFill>
              <w14:schemeClr w14:val="tx1"/>
            </w14:solidFill>
          </w14:textFill>
        </w:rPr>
        <w:t>建设项目环境影响评价文件批复后，出让指标和受让指标的排污单位应及时办理相关</w:t>
      </w:r>
      <w:r>
        <w:rPr>
          <w:rFonts w:hint="eastAsia" w:cs="楷体"/>
          <w:bCs/>
          <w:color w:val="000000" w:themeColor="text1"/>
          <w:spacing w:val="0"/>
          <w:szCs w:val="32"/>
          <w14:textFill>
            <w14:solidFill>
              <w14:schemeClr w14:val="tx1"/>
            </w14:solidFill>
          </w14:textFill>
        </w:rPr>
        <w:t>变更记录</w:t>
      </w:r>
      <w:r>
        <w:rPr>
          <w:rFonts w:hint="eastAsia" w:cs="仿宋"/>
          <w:bCs/>
          <w:color w:val="000000" w:themeColor="text1"/>
          <w:spacing w:val="0"/>
          <w:kern w:val="0"/>
          <w:szCs w:val="32"/>
          <w14:textFill>
            <w14:solidFill>
              <w14:schemeClr w14:val="tx1"/>
            </w14:solidFill>
          </w14:textFill>
        </w:rPr>
        <w:t>手续。</w:t>
      </w:r>
    </w:p>
    <w:p>
      <w:pPr>
        <w:overflowPunct w:val="0"/>
        <w:topLinePunct/>
        <w:adjustRightInd w:val="0"/>
        <w:snapToGrid w:val="0"/>
        <w:spacing w:line="560" w:lineRule="exact"/>
        <w:ind w:firstLine="640" w:firstLineChars="200"/>
        <w:rPr>
          <w:rFonts w:cs="仿宋"/>
          <w:bCs/>
          <w:color w:val="000000" w:themeColor="text1"/>
          <w:spacing w:val="0"/>
          <w:kern w:val="0"/>
          <w:szCs w:val="32"/>
          <w14:textFill>
            <w14:solidFill>
              <w14:schemeClr w14:val="tx1"/>
            </w14:solidFill>
          </w14:textFill>
        </w:rPr>
      </w:pPr>
      <w:r>
        <w:rPr>
          <w:rFonts w:hint="eastAsia" w:cs="仿宋"/>
          <w:bCs/>
          <w:color w:val="000000" w:themeColor="text1"/>
          <w:spacing w:val="0"/>
          <w:kern w:val="0"/>
          <w:szCs w:val="32"/>
          <w14:textFill>
            <w14:solidFill>
              <w14:schemeClr w14:val="tx1"/>
            </w14:solidFill>
          </w14:textFill>
        </w:rPr>
        <w:t>已取得排污许可证并出让指标的排污单位，应自出让指标之日起30日内依法申请变更排污许可证；未取得排污许可证或属于排污许可登记管理的排污单位，市（州）重金属污染防治部门应对出让情况进行记录。出让指标的排污单位整体关闭后应向排污许可证核发部门报告关停情况，排污许可证核发部门依法注销其排污许可证。</w:t>
      </w:r>
    </w:p>
    <w:p>
      <w:pPr>
        <w:overflowPunct w:val="0"/>
        <w:topLinePunct/>
        <w:adjustRightInd w:val="0"/>
        <w:snapToGrid w:val="0"/>
        <w:spacing w:line="560" w:lineRule="exact"/>
        <w:ind w:firstLine="640" w:firstLineChars="200"/>
        <w:rPr>
          <w:rFonts w:cs="仿宋"/>
          <w:bCs/>
          <w:color w:val="000000" w:themeColor="text1"/>
          <w:spacing w:val="0"/>
          <w:kern w:val="0"/>
          <w:szCs w:val="32"/>
          <w14:textFill>
            <w14:solidFill>
              <w14:schemeClr w14:val="tx1"/>
            </w14:solidFill>
          </w14:textFill>
        </w:rPr>
      </w:pPr>
      <w:r>
        <w:rPr>
          <w:rFonts w:hint="eastAsia" w:cs="仿宋"/>
          <w:bCs/>
          <w:color w:val="000000" w:themeColor="text1"/>
          <w:spacing w:val="0"/>
          <w:kern w:val="0"/>
          <w:szCs w:val="32"/>
          <w14:textFill>
            <w14:solidFill>
              <w14:schemeClr w14:val="tx1"/>
            </w14:solidFill>
          </w14:textFill>
        </w:rPr>
        <w:t>受让指标的排污单位在申领或重新申领排污许可证时，应提供指标来源依据，排污许可证核发部门应在排污许可证“其他控制及管理要求”中记录指标来源。</w:t>
      </w:r>
    </w:p>
    <w:p>
      <w:pPr>
        <w:overflowPunct w:val="0"/>
        <w:topLinePunct/>
        <w:adjustRightInd w:val="0"/>
        <w:snapToGrid w:val="0"/>
        <w:spacing w:line="560" w:lineRule="exact"/>
        <w:ind w:firstLine="640" w:firstLineChars="200"/>
        <w:rPr>
          <w:rFonts w:cs="仿宋"/>
          <w:bCs/>
          <w:color w:val="000000" w:themeColor="text1"/>
          <w:spacing w:val="0"/>
          <w:kern w:val="0"/>
          <w:szCs w:val="32"/>
          <w14:textFill>
            <w14:solidFill>
              <w14:schemeClr w14:val="tx1"/>
            </w14:solidFill>
          </w14:textFill>
        </w:rPr>
      </w:pPr>
      <w:r>
        <w:rPr>
          <w:rFonts w:hint="eastAsia" w:cs="仿宋"/>
          <w:bCs/>
          <w:color w:val="000000" w:themeColor="text1"/>
          <w:spacing w:val="0"/>
          <w:kern w:val="0"/>
          <w:szCs w:val="32"/>
          <w14:textFill>
            <w14:solidFill>
              <w14:schemeClr w14:val="tx1"/>
            </w14:solidFill>
          </w14:textFill>
        </w:rPr>
        <w:t>排污单位在申领或重新申领排污许可证时，排污许可证核发部门应按照排污许可证核发技术规范等相关规定对所涉及的重金属污染物排放量进行确定。</w:t>
      </w:r>
    </w:p>
    <w:p>
      <w:pPr>
        <w:overflowPunct w:val="0"/>
        <w:topLinePunct/>
        <w:spacing w:line="560" w:lineRule="exact"/>
        <w:jc w:val="center"/>
        <w:rPr>
          <w:rFonts w:eastAsia="黑体" w:cs="黑体"/>
          <w:bCs/>
          <w:color w:val="000000" w:themeColor="text1"/>
          <w:spacing w:val="0"/>
          <w:kern w:val="0"/>
          <w:szCs w:val="32"/>
          <w14:textFill>
            <w14:solidFill>
              <w14:schemeClr w14:val="tx1"/>
            </w14:solidFill>
          </w14:textFill>
        </w:rPr>
      </w:pPr>
    </w:p>
    <w:p>
      <w:pPr>
        <w:overflowPunct w:val="0"/>
        <w:topLinePunct/>
        <w:spacing w:line="560" w:lineRule="exact"/>
        <w:jc w:val="center"/>
        <w:rPr>
          <w:rFonts w:eastAsia="黑体" w:cs="黑体"/>
          <w:bCs/>
          <w:color w:val="000000" w:themeColor="text1"/>
          <w:spacing w:val="0"/>
          <w:kern w:val="0"/>
          <w:szCs w:val="32"/>
          <w14:textFill>
            <w14:solidFill>
              <w14:schemeClr w14:val="tx1"/>
            </w14:solidFill>
          </w14:textFill>
        </w:rPr>
      </w:pPr>
      <w:r>
        <w:rPr>
          <w:rFonts w:hint="eastAsia" w:eastAsia="黑体" w:cs="黑体"/>
          <w:bCs/>
          <w:color w:val="000000" w:themeColor="text1"/>
          <w:spacing w:val="0"/>
          <w:kern w:val="0"/>
          <w:szCs w:val="32"/>
          <w14:textFill>
            <w14:solidFill>
              <w14:schemeClr w14:val="tx1"/>
            </w14:solidFill>
          </w14:textFill>
        </w:rPr>
        <w:t>第三章 指标测算与审核</w:t>
      </w:r>
    </w:p>
    <w:p>
      <w:pPr>
        <w:overflowPunct w:val="0"/>
        <w:topLinePunct/>
        <w:adjustRightInd w:val="0"/>
        <w:snapToGrid w:val="0"/>
        <w:spacing w:line="560" w:lineRule="exact"/>
        <w:ind w:firstLine="642" w:firstLineChars="200"/>
        <w:rPr>
          <w:rFonts w:cs="仿宋"/>
          <w:bCs/>
          <w:color w:val="000000" w:themeColor="text1"/>
          <w:spacing w:val="0"/>
          <w:kern w:val="0"/>
          <w:szCs w:val="32"/>
          <w14:textFill>
            <w14:solidFill>
              <w14:schemeClr w14:val="tx1"/>
            </w14:solidFill>
          </w14:textFill>
        </w:rPr>
      </w:pPr>
      <w:r>
        <w:rPr>
          <w:rFonts w:hint="eastAsia" w:eastAsia="楷体_GB2312" w:cs="楷体"/>
          <w:b/>
          <w:bCs/>
          <w:color w:val="000000" w:themeColor="text1"/>
          <w:spacing w:val="0"/>
          <w:szCs w:val="32"/>
          <w14:textFill>
            <w14:solidFill>
              <w14:schemeClr w14:val="tx1"/>
            </w14:solidFill>
          </w14:textFill>
        </w:rPr>
        <w:t xml:space="preserve">第七条 </w:t>
      </w:r>
      <w:r>
        <w:rPr>
          <w:rFonts w:hint="eastAsia" w:cs="仿宋"/>
          <w:bCs/>
          <w:color w:val="000000" w:themeColor="text1"/>
          <w:spacing w:val="0"/>
          <w:kern w:val="0"/>
          <w:szCs w:val="32"/>
          <w14:textFill>
            <w14:solidFill>
              <w14:schemeClr w14:val="tx1"/>
            </w14:solidFill>
          </w14:textFill>
        </w:rPr>
        <w:t>项目建设单位在编制环境影响评价文件时，应做好环境影响评价技术导则同排污许可证申请与核发技术规范的有机衔接，确保重金属污染物排放量测算技术方法统一。</w:t>
      </w:r>
    </w:p>
    <w:p>
      <w:pPr>
        <w:overflowPunct w:val="0"/>
        <w:topLinePunct/>
        <w:adjustRightInd w:val="0"/>
        <w:snapToGrid w:val="0"/>
        <w:spacing w:line="560" w:lineRule="exact"/>
        <w:ind w:firstLine="642" w:firstLineChars="200"/>
        <w:rPr>
          <w:rFonts w:cs="仿宋"/>
          <w:bCs/>
          <w:color w:val="000000" w:themeColor="text1"/>
          <w:spacing w:val="0"/>
          <w:kern w:val="0"/>
          <w:szCs w:val="32"/>
          <w14:textFill>
            <w14:solidFill>
              <w14:schemeClr w14:val="tx1"/>
            </w14:solidFill>
          </w14:textFill>
        </w:rPr>
      </w:pPr>
      <w:r>
        <w:rPr>
          <w:rFonts w:hint="eastAsia" w:eastAsia="楷体_GB2312" w:cs="楷体"/>
          <w:b/>
          <w:bCs/>
          <w:color w:val="000000" w:themeColor="text1"/>
          <w:spacing w:val="0"/>
          <w:szCs w:val="32"/>
          <w14:textFill>
            <w14:solidFill>
              <w14:schemeClr w14:val="tx1"/>
            </w14:solidFill>
          </w14:textFill>
        </w:rPr>
        <w:t xml:space="preserve">第八条 </w:t>
      </w:r>
      <w:r>
        <w:rPr>
          <w:rFonts w:hint="eastAsia" w:cs="仿宋"/>
          <w:bCs/>
          <w:color w:val="000000" w:themeColor="text1"/>
          <w:spacing w:val="0"/>
          <w:kern w:val="0"/>
          <w:szCs w:val="32"/>
          <w14:textFill>
            <w14:solidFill>
              <w14:schemeClr w14:val="tx1"/>
            </w14:solidFill>
          </w14:textFill>
        </w:rPr>
        <w:t>各级生态环境部门审批建设项目环境影响评价文件时，应结合辖区总量控制目标要求，对环境影响评价文件提出的重金属污染物排放量及指标来源进行审核，确保排放量测算的准确性及指标来源的真实性和有效性。</w:t>
      </w:r>
    </w:p>
    <w:p>
      <w:pPr>
        <w:overflowPunct w:val="0"/>
        <w:topLinePunct/>
        <w:adjustRightInd w:val="0"/>
        <w:snapToGrid w:val="0"/>
        <w:spacing w:line="560" w:lineRule="exact"/>
        <w:ind w:firstLine="640" w:firstLineChars="200"/>
        <w:rPr>
          <w:rFonts w:cs="仿宋"/>
          <w:bCs/>
          <w:color w:val="000000" w:themeColor="text1"/>
          <w:spacing w:val="0"/>
          <w:kern w:val="0"/>
          <w:szCs w:val="32"/>
          <w14:textFill>
            <w14:solidFill>
              <w14:schemeClr w14:val="tx1"/>
            </w14:solidFill>
          </w14:textFill>
        </w:rPr>
      </w:pPr>
      <w:r>
        <w:rPr>
          <w:rFonts w:hint="eastAsia" w:cs="仿宋"/>
          <w:bCs/>
          <w:color w:val="000000" w:themeColor="text1"/>
          <w:spacing w:val="0"/>
          <w:kern w:val="0"/>
          <w:szCs w:val="32"/>
          <w14:textFill>
            <w14:solidFill>
              <w14:schemeClr w14:val="tx1"/>
            </w14:solidFill>
          </w14:textFill>
        </w:rPr>
        <w:t>重金属污染物排放量的审核，参照排污许可证核发技术规范相关规定和《污染源源强核算技术指南准则》等方法核算，从严确定许可排放量，确保不超出建设项目所在行政区域总量控制范围。</w:t>
      </w:r>
    </w:p>
    <w:p>
      <w:pPr>
        <w:overflowPunct w:val="0"/>
        <w:topLinePunct/>
        <w:spacing w:line="560" w:lineRule="exact"/>
        <w:jc w:val="center"/>
        <w:rPr>
          <w:rFonts w:eastAsia="黑体" w:cs="黑体"/>
          <w:bCs/>
          <w:color w:val="000000" w:themeColor="text1"/>
          <w:spacing w:val="0"/>
          <w:kern w:val="0"/>
          <w:szCs w:val="32"/>
          <w14:textFill>
            <w14:solidFill>
              <w14:schemeClr w14:val="tx1"/>
            </w14:solidFill>
          </w14:textFill>
        </w:rPr>
      </w:pPr>
    </w:p>
    <w:p>
      <w:pPr>
        <w:overflowPunct w:val="0"/>
        <w:topLinePunct/>
        <w:spacing w:line="560" w:lineRule="exact"/>
        <w:jc w:val="center"/>
        <w:rPr>
          <w:rFonts w:eastAsia="黑体" w:cs="黑体"/>
          <w:bCs/>
          <w:color w:val="000000" w:themeColor="text1"/>
          <w:spacing w:val="0"/>
          <w:kern w:val="0"/>
          <w:szCs w:val="32"/>
          <w14:textFill>
            <w14:solidFill>
              <w14:schemeClr w14:val="tx1"/>
            </w14:solidFill>
          </w14:textFill>
        </w:rPr>
      </w:pPr>
      <w:r>
        <w:rPr>
          <w:rFonts w:hint="eastAsia" w:eastAsia="黑体" w:cs="黑体"/>
          <w:bCs/>
          <w:color w:val="000000" w:themeColor="text1"/>
          <w:spacing w:val="0"/>
          <w:kern w:val="0"/>
          <w:szCs w:val="32"/>
          <w14:textFill>
            <w14:solidFill>
              <w14:schemeClr w14:val="tx1"/>
            </w14:solidFill>
          </w14:textFill>
        </w:rPr>
        <w:t>第四章 监督管理</w:t>
      </w:r>
    </w:p>
    <w:p>
      <w:pPr>
        <w:overflowPunct w:val="0"/>
        <w:topLinePunct/>
        <w:spacing w:line="560" w:lineRule="exact"/>
        <w:ind w:firstLine="629" w:firstLineChars="196"/>
        <w:rPr>
          <w:rFonts w:cs="仿宋"/>
          <w:bCs/>
          <w:color w:val="000000" w:themeColor="text1"/>
          <w:spacing w:val="0"/>
          <w:szCs w:val="32"/>
          <w14:textFill>
            <w14:solidFill>
              <w14:schemeClr w14:val="tx1"/>
            </w14:solidFill>
          </w14:textFill>
        </w:rPr>
      </w:pPr>
      <w:r>
        <w:rPr>
          <w:rFonts w:hint="eastAsia" w:eastAsia="楷体_GB2312" w:cs="楷体"/>
          <w:b/>
          <w:bCs/>
          <w:color w:val="000000" w:themeColor="text1"/>
          <w:spacing w:val="0"/>
          <w:szCs w:val="32"/>
          <w14:textFill>
            <w14:solidFill>
              <w14:schemeClr w14:val="tx1"/>
            </w14:solidFill>
          </w14:textFill>
        </w:rPr>
        <w:t xml:space="preserve">第九条 </w:t>
      </w:r>
      <w:r>
        <w:rPr>
          <w:rFonts w:hint="eastAsia" w:cs="仿宋"/>
          <w:bCs/>
          <w:color w:val="000000" w:themeColor="text1"/>
          <w:spacing w:val="0"/>
          <w:kern w:val="0"/>
          <w:szCs w:val="32"/>
          <w14:textFill>
            <w14:solidFill>
              <w14:schemeClr w14:val="tx1"/>
            </w14:solidFill>
          </w14:textFill>
        </w:rPr>
        <w:t>省级生态环境部门</w:t>
      </w:r>
      <w:r>
        <w:rPr>
          <w:rFonts w:hint="eastAsia" w:cs="仿宋"/>
          <w:bCs/>
          <w:color w:val="000000" w:themeColor="text1"/>
          <w:spacing w:val="0"/>
          <w:szCs w:val="32"/>
          <w14:textFill>
            <w14:solidFill>
              <w14:schemeClr w14:val="tx1"/>
            </w14:solidFill>
          </w14:textFill>
        </w:rPr>
        <w:t>负责全省重金属污染物排放指标的统一监督管理，按照国家重金属污染防治管理要求，依据各市（州）重金属环境质量状况、重金属污染物基础排放量、前期的减排量和重点行业发展规划等区域实际，制定重金属污染物排放总量控制计划；市（州）生态环境部门按照省级重金属污染物排放总量控制要求，制定辖区内重金属污染物排放总量控制计划，对总量指标进行管理。</w:t>
      </w:r>
    </w:p>
    <w:p>
      <w:pPr>
        <w:overflowPunct w:val="0"/>
        <w:topLinePunct/>
        <w:adjustRightInd w:val="0"/>
        <w:spacing w:line="560" w:lineRule="exact"/>
        <w:ind w:firstLine="642" w:firstLineChars="200"/>
        <w:rPr>
          <w:rFonts w:cs="仿宋"/>
          <w:bCs/>
          <w:color w:val="000000" w:themeColor="text1"/>
          <w:spacing w:val="0"/>
          <w:kern w:val="0"/>
          <w:szCs w:val="32"/>
          <w14:textFill>
            <w14:solidFill>
              <w14:schemeClr w14:val="tx1"/>
            </w14:solidFill>
          </w14:textFill>
        </w:rPr>
      </w:pPr>
      <w:r>
        <w:rPr>
          <w:rFonts w:hint="eastAsia" w:eastAsia="楷体_GB2312" w:cs="楷体"/>
          <w:b/>
          <w:bCs/>
          <w:color w:val="000000" w:themeColor="text1"/>
          <w:spacing w:val="0"/>
          <w:szCs w:val="32"/>
          <w14:textFill>
            <w14:solidFill>
              <w14:schemeClr w14:val="tx1"/>
            </w14:solidFill>
          </w14:textFill>
        </w:rPr>
        <w:t>第十条</w:t>
      </w:r>
      <w:r>
        <w:rPr>
          <w:rFonts w:hint="eastAsia" w:cs="楷体"/>
          <w:bCs/>
          <w:color w:val="000000" w:themeColor="text1"/>
          <w:spacing w:val="0"/>
          <w:szCs w:val="32"/>
          <w14:textFill>
            <w14:solidFill>
              <w14:schemeClr w14:val="tx1"/>
            </w14:solidFill>
          </w14:textFill>
        </w:rPr>
        <w:t xml:space="preserve"> 各级</w:t>
      </w:r>
      <w:r>
        <w:rPr>
          <w:rFonts w:hint="eastAsia" w:cs="仿宋"/>
          <w:bCs/>
          <w:color w:val="000000" w:themeColor="text1"/>
          <w:spacing w:val="0"/>
          <w:kern w:val="0"/>
          <w:szCs w:val="32"/>
          <w14:textFill>
            <w14:solidFill>
              <w14:schemeClr w14:val="tx1"/>
            </w14:solidFill>
          </w14:textFill>
        </w:rPr>
        <w:t>生态环境部门应建立内部协同联动机制，加强信息共享，共同做好重金属污染物总量控制和排放指标的管理工作。重金属污染防治部门负责重金属污染物排放总量控制计划制定、指标来源审核、确认与调剂；环境影响评价文件审批部门负责</w:t>
      </w:r>
      <w:r>
        <w:rPr>
          <w:rFonts w:hint="eastAsia" w:cs="仿宋"/>
          <w:bCs/>
          <w:color w:val="000000" w:themeColor="text1"/>
          <w:spacing w:val="0"/>
          <w:szCs w:val="32"/>
          <w14:textFill>
            <w14:solidFill>
              <w14:schemeClr w14:val="tx1"/>
            </w14:solidFill>
          </w14:textFill>
        </w:rPr>
        <w:t>重点行业</w:t>
      </w:r>
      <w:r>
        <w:rPr>
          <w:rFonts w:hint="eastAsia" w:cs="仿宋"/>
          <w:bCs/>
          <w:color w:val="000000" w:themeColor="text1"/>
          <w:spacing w:val="0"/>
          <w:kern w:val="0"/>
          <w:szCs w:val="32"/>
          <w14:textFill>
            <w14:solidFill>
              <w14:schemeClr w14:val="tx1"/>
            </w14:solidFill>
          </w14:textFill>
        </w:rPr>
        <w:t>建设项目</w:t>
      </w:r>
      <w:r>
        <w:rPr>
          <w:rFonts w:hint="eastAsia" w:cs="仿宋"/>
          <w:bCs/>
          <w:color w:val="000000" w:themeColor="text1"/>
          <w:spacing w:val="0"/>
          <w:szCs w:val="32"/>
          <w14:textFill>
            <w14:solidFill>
              <w14:schemeClr w14:val="tx1"/>
            </w14:solidFill>
          </w14:textFill>
        </w:rPr>
        <w:t>重金属污染物排放量测算的审核；</w:t>
      </w:r>
      <w:r>
        <w:rPr>
          <w:rFonts w:hint="eastAsia" w:cs="仿宋"/>
          <w:bCs/>
          <w:color w:val="000000" w:themeColor="text1"/>
          <w:spacing w:val="0"/>
          <w:kern w:val="0"/>
          <w:szCs w:val="32"/>
          <w14:textFill>
            <w14:solidFill>
              <w14:schemeClr w14:val="tx1"/>
            </w14:solidFill>
          </w14:textFill>
        </w:rPr>
        <w:t>排污许可证核发部门负责依据排污单位的申请办理排污许可证申领或变更，载明重金属污染物排放量变化情况；生态环境执法部门负责涉重金属排污单位环境违法行为的查处。</w:t>
      </w:r>
    </w:p>
    <w:p>
      <w:pPr>
        <w:overflowPunct w:val="0"/>
        <w:topLinePunct/>
        <w:spacing w:line="560" w:lineRule="exact"/>
        <w:ind w:firstLine="629" w:firstLineChars="196"/>
        <w:rPr>
          <w:rFonts w:cs="仿宋"/>
          <w:bCs/>
          <w:color w:val="000000" w:themeColor="text1"/>
          <w:spacing w:val="0"/>
          <w:kern w:val="0"/>
          <w:szCs w:val="32"/>
          <w14:textFill>
            <w14:solidFill>
              <w14:schemeClr w14:val="tx1"/>
            </w14:solidFill>
          </w14:textFill>
        </w:rPr>
      </w:pPr>
      <w:r>
        <w:rPr>
          <w:rFonts w:hint="eastAsia" w:eastAsia="楷体_GB2312" w:cs="楷体"/>
          <w:b/>
          <w:bCs/>
          <w:color w:val="000000" w:themeColor="text1"/>
          <w:spacing w:val="0"/>
          <w:szCs w:val="32"/>
          <w14:textFill>
            <w14:solidFill>
              <w14:schemeClr w14:val="tx1"/>
            </w14:solidFill>
          </w14:textFill>
        </w:rPr>
        <w:t xml:space="preserve">第十一条 </w:t>
      </w:r>
      <w:r>
        <w:rPr>
          <w:rFonts w:hint="eastAsia" w:cs="楷体"/>
          <w:bCs/>
          <w:color w:val="000000" w:themeColor="text1"/>
          <w:spacing w:val="0"/>
          <w:szCs w:val="32"/>
          <w14:textFill>
            <w14:solidFill>
              <w14:schemeClr w14:val="tx1"/>
            </w14:solidFill>
          </w14:textFill>
        </w:rPr>
        <w:t>各级生态环境部门应建立辖区内重金属污染物总量指标管理台账。对已</w:t>
      </w:r>
      <w:r>
        <w:rPr>
          <w:rFonts w:hint="eastAsia" w:cs="仿宋"/>
          <w:bCs/>
          <w:color w:val="000000" w:themeColor="text1"/>
          <w:spacing w:val="0"/>
          <w:kern w:val="0"/>
          <w:szCs w:val="32"/>
          <w14:textFill>
            <w14:solidFill>
              <w14:schemeClr w14:val="tx1"/>
            </w14:solidFill>
          </w14:textFill>
        </w:rPr>
        <w:t>取得排污许可证的排污单位，</w:t>
      </w:r>
      <w:r>
        <w:rPr>
          <w:rFonts w:hint="eastAsia" w:cs="楷体"/>
          <w:bCs/>
          <w:color w:val="000000" w:themeColor="text1"/>
          <w:spacing w:val="0"/>
          <w:szCs w:val="32"/>
          <w14:textFill>
            <w14:solidFill>
              <w14:schemeClr w14:val="tx1"/>
            </w14:solidFill>
          </w14:textFill>
        </w:rPr>
        <w:t>可</w:t>
      </w:r>
      <w:r>
        <w:rPr>
          <w:rFonts w:hint="eastAsia" w:cs="仿宋"/>
          <w:bCs/>
          <w:color w:val="000000" w:themeColor="text1"/>
          <w:spacing w:val="0"/>
          <w:kern w:val="0"/>
          <w:szCs w:val="32"/>
          <w14:textFill>
            <w14:solidFill>
              <w14:schemeClr w14:val="tx1"/>
            </w14:solidFill>
          </w14:textFill>
        </w:rPr>
        <w:t>依托全国排污许可证管理信息平台对重金属污染物指标进行管理。</w:t>
      </w:r>
    </w:p>
    <w:p>
      <w:pPr>
        <w:overflowPunct w:val="0"/>
        <w:topLinePunct/>
        <w:adjustRightInd w:val="0"/>
        <w:spacing w:line="560" w:lineRule="exact"/>
        <w:ind w:firstLine="642" w:firstLineChars="200"/>
        <w:rPr>
          <w:rFonts w:cs="楷体"/>
          <w:bCs/>
          <w:color w:val="000000" w:themeColor="text1"/>
          <w:spacing w:val="0"/>
          <w:szCs w:val="32"/>
          <w14:textFill>
            <w14:solidFill>
              <w14:schemeClr w14:val="tx1"/>
            </w14:solidFill>
          </w14:textFill>
        </w:rPr>
      </w:pPr>
      <w:r>
        <w:rPr>
          <w:rFonts w:hint="eastAsia" w:eastAsia="楷体_GB2312" w:cs="楷体"/>
          <w:b/>
          <w:bCs/>
          <w:color w:val="000000" w:themeColor="text1"/>
          <w:spacing w:val="0"/>
          <w:szCs w:val="32"/>
          <w14:textFill>
            <w14:solidFill>
              <w14:schemeClr w14:val="tx1"/>
            </w14:solidFill>
          </w14:textFill>
        </w:rPr>
        <w:t xml:space="preserve">第十二条 </w:t>
      </w:r>
      <w:r>
        <w:rPr>
          <w:rFonts w:hint="eastAsia" w:cs="楷体"/>
          <w:bCs/>
          <w:color w:val="000000" w:themeColor="text1"/>
          <w:spacing w:val="0"/>
          <w:szCs w:val="32"/>
          <w14:textFill>
            <w14:solidFill>
              <w14:schemeClr w14:val="tx1"/>
            </w14:solidFill>
          </w14:textFill>
        </w:rPr>
        <w:t>各级</w:t>
      </w:r>
      <w:r>
        <w:rPr>
          <w:rFonts w:hint="eastAsia" w:cs="仿宋"/>
          <w:bCs/>
          <w:color w:val="000000" w:themeColor="text1"/>
          <w:spacing w:val="0"/>
          <w:kern w:val="0"/>
          <w:szCs w:val="32"/>
          <w14:textFill>
            <w14:solidFill>
              <w14:schemeClr w14:val="tx1"/>
            </w14:solidFill>
          </w14:textFill>
        </w:rPr>
        <w:t>生态环境部门应加强重金属污染物排放总量控制和指标使用的监督检查。重点检查：</w:t>
      </w:r>
    </w:p>
    <w:p>
      <w:pPr>
        <w:overflowPunct w:val="0"/>
        <w:topLinePunct/>
        <w:adjustRightInd w:val="0"/>
        <w:spacing w:line="560" w:lineRule="exact"/>
        <w:ind w:firstLine="640" w:firstLineChars="200"/>
        <w:rPr>
          <w:rFonts w:cs="仿宋"/>
          <w:bCs/>
          <w:color w:val="000000" w:themeColor="text1"/>
          <w:spacing w:val="0"/>
          <w:kern w:val="0"/>
          <w:szCs w:val="32"/>
          <w14:textFill>
            <w14:solidFill>
              <w14:schemeClr w14:val="tx1"/>
            </w14:solidFill>
          </w14:textFill>
        </w:rPr>
      </w:pPr>
      <w:r>
        <w:rPr>
          <w:rFonts w:hint="eastAsia" w:cs="仿宋"/>
          <w:bCs/>
          <w:color w:val="000000" w:themeColor="text1"/>
          <w:spacing w:val="0"/>
          <w:kern w:val="0"/>
          <w:szCs w:val="32"/>
          <w14:textFill>
            <w14:solidFill>
              <w14:schemeClr w14:val="tx1"/>
            </w14:solidFill>
          </w14:textFill>
        </w:rPr>
        <w:t>（一）“减量置换”或“等量替换”执行情况；</w:t>
      </w:r>
    </w:p>
    <w:p>
      <w:pPr>
        <w:overflowPunct w:val="0"/>
        <w:topLinePunct/>
        <w:adjustRightInd w:val="0"/>
        <w:spacing w:line="560" w:lineRule="exact"/>
        <w:ind w:firstLine="640" w:firstLineChars="200"/>
        <w:rPr>
          <w:rFonts w:cs="仿宋"/>
          <w:bCs/>
          <w:color w:val="000000" w:themeColor="text1"/>
          <w:spacing w:val="0"/>
          <w:kern w:val="0"/>
          <w:szCs w:val="32"/>
          <w14:textFill>
            <w14:solidFill>
              <w14:schemeClr w14:val="tx1"/>
            </w14:solidFill>
          </w14:textFill>
        </w:rPr>
      </w:pPr>
      <w:r>
        <w:rPr>
          <w:rFonts w:hint="eastAsia" w:cs="仿宋"/>
          <w:bCs/>
          <w:color w:val="000000" w:themeColor="text1"/>
          <w:spacing w:val="0"/>
          <w:kern w:val="0"/>
          <w:szCs w:val="32"/>
          <w14:textFill>
            <w14:solidFill>
              <w14:schemeClr w14:val="tx1"/>
            </w14:solidFill>
          </w14:textFill>
        </w:rPr>
        <w:t>（二）建设项目重金属污染物排放量测算情况；</w:t>
      </w:r>
    </w:p>
    <w:p>
      <w:pPr>
        <w:overflowPunct w:val="0"/>
        <w:topLinePunct/>
        <w:adjustRightInd w:val="0"/>
        <w:spacing w:line="560" w:lineRule="exact"/>
        <w:ind w:firstLine="640" w:firstLineChars="200"/>
        <w:rPr>
          <w:rFonts w:cs="仿宋"/>
          <w:bCs/>
          <w:color w:val="000000" w:themeColor="text1"/>
          <w:spacing w:val="0"/>
          <w:kern w:val="0"/>
          <w:szCs w:val="32"/>
          <w14:textFill>
            <w14:solidFill>
              <w14:schemeClr w14:val="tx1"/>
            </w14:solidFill>
          </w14:textFill>
        </w:rPr>
      </w:pPr>
      <w:r>
        <w:rPr>
          <w:rFonts w:hint="eastAsia" w:cs="仿宋"/>
          <w:bCs/>
          <w:color w:val="000000" w:themeColor="text1"/>
          <w:spacing w:val="0"/>
          <w:kern w:val="0"/>
          <w:szCs w:val="32"/>
          <w14:textFill>
            <w14:solidFill>
              <w14:schemeClr w14:val="tx1"/>
            </w14:solidFill>
          </w14:textFill>
        </w:rPr>
        <w:t>（三）排污单位按证排放重金属污染物情况；</w:t>
      </w:r>
    </w:p>
    <w:p>
      <w:pPr>
        <w:overflowPunct w:val="0"/>
        <w:topLinePunct/>
        <w:adjustRightInd w:val="0"/>
        <w:spacing w:line="560" w:lineRule="exact"/>
        <w:ind w:firstLine="640" w:firstLineChars="200"/>
        <w:rPr>
          <w:rFonts w:cs="仿宋"/>
          <w:bCs/>
          <w:color w:val="000000" w:themeColor="text1"/>
          <w:spacing w:val="0"/>
          <w:kern w:val="0"/>
          <w:szCs w:val="32"/>
          <w14:textFill>
            <w14:solidFill>
              <w14:schemeClr w14:val="tx1"/>
            </w14:solidFill>
          </w14:textFill>
        </w:rPr>
      </w:pPr>
      <w:r>
        <w:rPr>
          <w:rFonts w:hint="eastAsia" w:cs="仿宋"/>
          <w:bCs/>
          <w:color w:val="000000" w:themeColor="text1"/>
          <w:spacing w:val="0"/>
          <w:kern w:val="0"/>
          <w:szCs w:val="32"/>
          <w14:textFill>
            <w14:solidFill>
              <w14:schemeClr w14:val="tx1"/>
            </w14:solidFill>
          </w14:textFill>
        </w:rPr>
        <w:t>（四）排污单位自行监测情况；</w:t>
      </w:r>
    </w:p>
    <w:p>
      <w:pPr>
        <w:overflowPunct w:val="0"/>
        <w:topLinePunct/>
        <w:adjustRightInd w:val="0"/>
        <w:spacing w:line="560" w:lineRule="exact"/>
        <w:ind w:firstLine="640" w:firstLineChars="200"/>
        <w:rPr>
          <w:rFonts w:cs="仿宋"/>
          <w:bCs/>
          <w:color w:val="000000" w:themeColor="text1"/>
          <w:spacing w:val="0"/>
          <w:kern w:val="0"/>
          <w:szCs w:val="32"/>
          <w14:textFill>
            <w14:solidFill>
              <w14:schemeClr w14:val="tx1"/>
            </w14:solidFill>
          </w14:textFill>
        </w:rPr>
      </w:pPr>
      <w:r>
        <w:rPr>
          <w:rFonts w:hint="eastAsia" w:cs="仿宋"/>
          <w:bCs/>
          <w:color w:val="000000" w:themeColor="text1"/>
          <w:spacing w:val="0"/>
          <w:kern w:val="0"/>
          <w:szCs w:val="32"/>
          <w14:textFill>
            <w14:solidFill>
              <w14:schemeClr w14:val="tx1"/>
            </w14:solidFill>
          </w14:textFill>
        </w:rPr>
        <w:t>（五）排污许可证执行报告提交情况。</w:t>
      </w:r>
    </w:p>
    <w:p>
      <w:pPr>
        <w:overflowPunct w:val="0"/>
        <w:topLinePunct/>
        <w:spacing w:line="560" w:lineRule="exact"/>
        <w:jc w:val="center"/>
        <w:rPr>
          <w:rFonts w:eastAsia="黑体" w:cs="黑体"/>
          <w:bCs/>
          <w:color w:val="000000" w:themeColor="text1"/>
          <w:spacing w:val="0"/>
          <w:kern w:val="0"/>
          <w:szCs w:val="32"/>
          <w14:textFill>
            <w14:solidFill>
              <w14:schemeClr w14:val="tx1"/>
            </w14:solidFill>
          </w14:textFill>
        </w:rPr>
      </w:pPr>
    </w:p>
    <w:p>
      <w:pPr>
        <w:overflowPunct w:val="0"/>
        <w:topLinePunct/>
        <w:spacing w:line="560" w:lineRule="exact"/>
        <w:jc w:val="center"/>
        <w:rPr>
          <w:rFonts w:eastAsia="黑体" w:cs="黑体"/>
          <w:bCs/>
          <w:color w:val="000000" w:themeColor="text1"/>
          <w:spacing w:val="0"/>
          <w:kern w:val="0"/>
          <w:szCs w:val="32"/>
          <w14:textFill>
            <w14:solidFill>
              <w14:schemeClr w14:val="tx1"/>
            </w14:solidFill>
          </w14:textFill>
        </w:rPr>
      </w:pPr>
      <w:r>
        <w:rPr>
          <w:rFonts w:hint="eastAsia" w:eastAsia="黑体" w:cs="黑体"/>
          <w:bCs/>
          <w:color w:val="000000" w:themeColor="text1"/>
          <w:spacing w:val="0"/>
          <w:kern w:val="0"/>
          <w:szCs w:val="32"/>
          <w14:textFill>
            <w14:solidFill>
              <w14:schemeClr w14:val="tx1"/>
            </w14:solidFill>
          </w14:textFill>
        </w:rPr>
        <w:t>第五章 附  则</w:t>
      </w:r>
    </w:p>
    <w:p>
      <w:pPr>
        <w:overflowPunct w:val="0"/>
        <w:topLinePunct/>
        <w:adjustRightInd w:val="0"/>
        <w:spacing w:line="560" w:lineRule="exact"/>
        <w:ind w:firstLine="629" w:firstLineChars="196"/>
        <w:rPr>
          <w:rFonts w:cs="仿宋"/>
          <w:bCs/>
          <w:color w:val="000000" w:themeColor="text1"/>
          <w:spacing w:val="0"/>
          <w:szCs w:val="32"/>
          <w14:textFill>
            <w14:solidFill>
              <w14:schemeClr w14:val="tx1"/>
            </w14:solidFill>
          </w14:textFill>
        </w:rPr>
      </w:pPr>
      <w:r>
        <w:rPr>
          <w:rFonts w:hint="eastAsia" w:eastAsia="楷体_GB2312" w:cs="楷体"/>
          <w:b/>
          <w:bCs/>
          <w:color w:val="000000" w:themeColor="text1"/>
          <w:spacing w:val="0"/>
          <w:szCs w:val="32"/>
          <w14:textFill>
            <w14:solidFill>
              <w14:schemeClr w14:val="tx1"/>
            </w14:solidFill>
          </w14:textFill>
        </w:rPr>
        <w:t xml:space="preserve">第十三条 </w:t>
      </w:r>
      <w:r>
        <w:rPr>
          <w:rFonts w:hint="eastAsia" w:cs="仿宋"/>
          <w:bCs/>
          <w:color w:val="000000" w:themeColor="text1"/>
          <w:spacing w:val="0"/>
          <w:szCs w:val="32"/>
          <w14:textFill>
            <w14:solidFill>
              <w14:schemeClr w14:val="tx1"/>
            </w14:solidFill>
          </w14:textFill>
        </w:rPr>
        <w:t>凡四川省生态环境厅之前发布的有关规定与本办法不一致的，以本办法为准。</w:t>
      </w:r>
    </w:p>
    <w:p>
      <w:pPr>
        <w:overflowPunct w:val="0"/>
        <w:topLinePunct/>
        <w:adjustRightInd w:val="0"/>
        <w:spacing w:line="560" w:lineRule="exact"/>
        <w:ind w:firstLine="629" w:firstLineChars="196"/>
        <w:rPr>
          <w:rFonts w:cs="仿宋"/>
          <w:bCs/>
          <w:color w:val="000000" w:themeColor="text1"/>
          <w:spacing w:val="0"/>
          <w:szCs w:val="32"/>
          <w14:textFill>
            <w14:solidFill>
              <w14:schemeClr w14:val="tx1"/>
            </w14:solidFill>
          </w14:textFill>
        </w:rPr>
      </w:pPr>
      <w:r>
        <w:rPr>
          <w:rFonts w:hint="eastAsia" w:eastAsia="楷体_GB2312" w:cs="楷体"/>
          <w:b/>
          <w:bCs/>
          <w:color w:val="000000" w:themeColor="text1"/>
          <w:spacing w:val="0"/>
          <w:szCs w:val="32"/>
          <w14:textFill>
            <w14:solidFill>
              <w14:schemeClr w14:val="tx1"/>
            </w14:solidFill>
          </w14:textFill>
        </w:rPr>
        <w:t>第十四条</w:t>
      </w:r>
      <w:r>
        <w:rPr>
          <w:rFonts w:hint="eastAsia" w:cs="楷体"/>
          <w:bCs/>
          <w:color w:val="000000" w:themeColor="text1"/>
          <w:spacing w:val="0"/>
          <w:szCs w:val="32"/>
          <w14:textFill>
            <w14:solidFill>
              <w14:schemeClr w14:val="tx1"/>
            </w14:solidFill>
          </w14:textFill>
        </w:rPr>
        <w:t xml:space="preserve"> </w:t>
      </w:r>
      <w:r>
        <w:rPr>
          <w:rFonts w:hint="eastAsia" w:cs="仿宋"/>
          <w:bCs/>
          <w:color w:val="000000" w:themeColor="text1"/>
          <w:spacing w:val="0"/>
          <w:szCs w:val="32"/>
          <w14:textFill>
            <w14:solidFill>
              <w14:schemeClr w14:val="tx1"/>
            </w14:solidFill>
          </w14:textFill>
        </w:rPr>
        <w:t>本办法由四川省生态环境厅负责解释。</w:t>
      </w:r>
    </w:p>
    <w:p>
      <w:pPr>
        <w:overflowPunct w:val="0"/>
        <w:topLinePunct/>
        <w:spacing w:line="560" w:lineRule="exact"/>
        <w:ind w:firstLine="629" w:firstLineChars="196"/>
        <w:rPr>
          <w:rFonts w:cs="仿宋"/>
          <w:bCs/>
          <w:color w:val="000000" w:themeColor="text1"/>
          <w:spacing w:val="0"/>
          <w:szCs w:val="32"/>
          <w14:textFill>
            <w14:solidFill>
              <w14:schemeClr w14:val="tx1"/>
            </w14:solidFill>
          </w14:textFill>
        </w:rPr>
      </w:pPr>
      <w:r>
        <w:rPr>
          <w:rFonts w:hint="eastAsia" w:eastAsia="楷体_GB2312" w:cs="楷体"/>
          <w:b/>
          <w:bCs/>
          <w:color w:val="000000" w:themeColor="text1"/>
          <w:spacing w:val="0"/>
          <w:szCs w:val="32"/>
          <w14:textFill>
            <w14:solidFill>
              <w14:schemeClr w14:val="tx1"/>
            </w14:solidFill>
          </w14:textFill>
        </w:rPr>
        <w:t xml:space="preserve">第十五条 </w:t>
      </w:r>
      <w:r>
        <w:rPr>
          <w:rFonts w:hint="eastAsia" w:cs="仿宋"/>
          <w:bCs/>
          <w:color w:val="000000" w:themeColor="text1"/>
          <w:spacing w:val="0"/>
          <w:szCs w:val="32"/>
          <w14:textFill>
            <w14:solidFill>
              <w14:schemeClr w14:val="tx1"/>
            </w14:solidFill>
          </w14:textFill>
        </w:rPr>
        <w:t>本办法自发布之日起实施。</w:t>
      </w:r>
    </w:p>
    <w:p>
      <w:pPr>
        <w:overflowPunct w:val="0"/>
        <w:topLinePunct/>
        <w:spacing w:line="560" w:lineRule="exact"/>
        <w:ind w:firstLine="627" w:firstLineChars="196"/>
        <w:rPr>
          <w:rFonts w:cs="仿宋"/>
          <w:bCs/>
          <w:color w:val="000000" w:themeColor="text1"/>
          <w:spacing w:val="0"/>
          <w:szCs w:val="32"/>
          <w14:textFill>
            <w14:solidFill>
              <w14:schemeClr w14:val="tx1"/>
            </w14:solidFill>
          </w14:textFill>
        </w:rPr>
      </w:pPr>
      <w:bookmarkStart w:id="0" w:name="_GoBack"/>
      <w:bookmarkEnd w:id="0"/>
    </w:p>
    <w:sectPr>
      <w:footerReference r:id="rId6" w:type="default"/>
      <w:headerReference r:id="rId5" w:type="even"/>
      <w:footerReference r:id="rId7" w:type="even"/>
      <w:pgSz w:w="11906" w:h="16838"/>
      <w:pgMar w:top="2098" w:right="1474" w:bottom="1985" w:left="1588" w:header="851" w:footer="1418"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PMingLiU">
    <w:altName w:val="Droid Sans Fallback"/>
    <w:panose1 w:val="02020500000000000000"/>
    <w:charset w:val="88"/>
    <w:family w:val="roman"/>
    <w:pitch w:val="default"/>
    <w:sig w:usb0="00000000" w:usb1="00000000" w:usb2="00000016" w:usb3="00000000" w:csb0="00100001" w:csb1="00000000"/>
  </w:font>
  <w:font w:name="等线">
    <w:altName w:val="宋体"/>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793558120"/>
    </w:sdtPr>
    <w:sdtEndPr>
      <w:rPr>
        <w:rFonts w:ascii="宋体" w:hAnsi="宋体" w:eastAsia="宋体"/>
        <w:sz w:val="28"/>
        <w:szCs w:val="28"/>
      </w:rPr>
    </w:sdtEndPr>
    <w:sdtContent>
      <w:p>
        <w:pPr>
          <w:pStyle w:val="4"/>
          <w:ind w:left="308" w:leftChars="100" w:right="308" w:rightChars="100"/>
          <w:jc w:val="right"/>
        </w:pPr>
        <w:r>
          <w:rPr>
            <w:rFonts w:ascii="宋体" w:hAnsi="宋体" w:eastAsia="宋体"/>
            <w:sz w:val="28"/>
            <w:szCs w:val="28"/>
          </w:rPr>
          <w:t xml:space="preserve">— </w:t>
        </w:r>
        <w:sdt>
          <w:sdtPr>
            <w:rPr>
              <w:rFonts w:ascii="宋体" w:hAnsi="宋体" w:eastAsia="宋体"/>
              <w:sz w:val="28"/>
              <w:szCs w:val="28"/>
            </w:rPr>
            <w:id w:val="1408344953"/>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sdtContent>
        </w:sdt>
        <w:r>
          <w:rPr>
            <w:rFonts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1425765904"/>
    </w:sdtPr>
    <w:sdtEndPr>
      <w:rPr>
        <w:rFonts w:ascii="宋体" w:hAnsi="宋体" w:eastAsia="宋体"/>
        <w:sz w:val="28"/>
        <w:szCs w:val="28"/>
      </w:rPr>
    </w:sdtEndPr>
    <w:sdtContent>
      <w:p>
        <w:pPr>
          <w:pStyle w:val="4"/>
          <w:ind w:left="308" w:leftChars="100" w:right="308" w:rightChars="100"/>
          <w:jc w:val="left"/>
        </w:pPr>
        <w:r>
          <w:rPr>
            <w:rFonts w:ascii="宋体" w:hAnsi="宋体" w:eastAsia="宋体"/>
            <w:sz w:val="28"/>
            <w:szCs w:val="28"/>
          </w:rPr>
          <w:t xml:space="preserve">— </w:t>
        </w:r>
        <w:sdt>
          <w:sdtPr>
            <w:rPr>
              <w:rFonts w:ascii="宋体" w:hAnsi="宋体" w:eastAsia="宋体"/>
              <w:sz w:val="28"/>
              <w:szCs w:val="28"/>
            </w:rPr>
            <w:id w:val="-1510976731"/>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sdtContent>
        </w:sdt>
        <w:r>
          <w:rPr>
            <w:rFonts w:ascii="宋体" w:hAnsi="宋体" w:eastAsia="宋体"/>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val="true"/>
  <w:drawingGridHorizontalSpacing w:val="154"/>
  <w:drawingGridVerticalSpacing w:val="43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401CC"/>
    <w:rsid w:val="00047400"/>
    <w:rsid w:val="0005529B"/>
    <w:rsid w:val="00090DA6"/>
    <w:rsid w:val="000A1C85"/>
    <w:rsid w:val="000A3245"/>
    <w:rsid w:val="000B19A4"/>
    <w:rsid w:val="000E66E5"/>
    <w:rsid w:val="00105E9A"/>
    <w:rsid w:val="00111D70"/>
    <w:rsid w:val="001139B8"/>
    <w:rsid w:val="00147186"/>
    <w:rsid w:val="001D15A4"/>
    <w:rsid w:val="001D2551"/>
    <w:rsid w:val="001D29E1"/>
    <w:rsid w:val="001D6245"/>
    <w:rsid w:val="001E6B88"/>
    <w:rsid w:val="001F607C"/>
    <w:rsid w:val="00214BF7"/>
    <w:rsid w:val="00217A49"/>
    <w:rsid w:val="00255F50"/>
    <w:rsid w:val="0029111D"/>
    <w:rsid w:val="002E2AD2"/>
    <w:rsid w:val="002F135C"/>
    <w:rsid w:val="00304407"/>
    <w:rsid w:val="00346FB4"/>
    <w:rsid w:val="00350FB7"/>
    <w:rsid w:val="00383F14"/>
    <w:rsid w:val="003B76C8"/>
    <w:rsid w:val="003C7600"/>
    <w:rsid w:val="003D237C"/>
    <w:rsid w:val="003E1D85"/>
    <w:rsid w:val="00414A15"/>
    <w:rsid w:val="00476BB9"/>
    <w:rsid w:val="004E642A"/>
    <w:rsid w:val="004F50BD"/>
    <w:rsid w:val="00504BCF"/>
    <w:rsid w:val="00507775"/>
    <w:rsid w:val="00511F71"/>
    <w:rsid w:val="00513EE7"/>
    <w:rsid w:val="00525080"/>
    <w:rsid w:val="005271A5"/>
    <w:rsid w:val="005F371B"/>
    <w:rsid w:val="006034B0"/>
    <w:rsid w:val="006428A2"/>
    <w:rsid w:val="006517FD"/>
    <w:rsid w:val="00674575"/>
    <w:rsid w:val="006C239B"/>
    <w:rsid w:val="0072736A"/>
    <w:rsid w:val="0078710E"/>
    <w:rsid w:val="00792D80"/>
    <w:rsid w:val="00806753"/>
    <w:rsid w:val="00896A50"/>
    <w:rsid w:val="008C1124"/>
    <w:rsid w:val="008D01BB"/>
    <w:rsid w:val="00926B5D"/>
    <w:rsid w:val="00957D8D"/>
    <w:rsid w:val="00962D49"/>
    <w:rsid w:val="00963CF1"/>
    <w:rsid w:val="00991320"/>
    <w:rsid w:val="00995931"/>
    <w:rsid w:val="009965A1"/>
    <w:rsid w:val="009C512A"/>
    <w:rsid w:val="009F277B"/>
    <w:rsid w:val="00A41EB0"/>
    <w:rsid w:val="00A4352D"/>
    <w:rsid w:val="00A45E40"/>
    <w:rsid w:val="00A62215"/>
    <w:rsid w:val="00AB7D9D"/>
    <w:rsid w:val="00AC6DB4"/>
    <w:rsid w:val="00AD4C39"/>
    <w:rsid w:val="00AE7C05"/>
    <w:rsid w:val="00AF4A5B"/>
    <w:rsid w:val="00B23824"/>
    <w:rsid w:val="00B51496"/>
    <w:rsid w:val="00B57334"/>
    <w:rsid w:val="00BA1FCF"/>
    <w:rsid w:val="00BC04E9"/>
    <w:rsid w:val="00C0767F"/>
    <w:rsid w:val="00C1140B"/>
    <w:rsid w:val="00C26C3D"/>
    <w:rsid w:val="00C5046D"/>
    <w:rsid w:val="00C63045"/>
    <w:rsid w:val="00C80B34"/>
    <w:rsid w:val="00CA302F"/>
    <w:rsid w:val="00CC4E24"/>
    <w:rsid w:val="00CC70AD"/>
    <w:rsid w:val="00D11D43"/>
    <w:rsid w:val="00D12FFB"/>
    <w:rsid w:val="00D15941"/>
    <w:rsid w:val="00DC5E4F"/>
    <w:rsid w:val="00DE7D02"/>
    <w:rsid w:val="00E305F4"/>
    <w:rsid w:val="00E4041D"/>
    <w:rsid w:val="00E70A04"/>
    <w:rsid w:val="00ED24A6"/>
    <w:rsid w:val="00F26F30"/>
    <w:rsid w:val="00F34080"/>
    <w:rsid w:val="00F6257B"/>
    <w:rsid w:val="00F65A15"/>
    <w:rsid w:val="00F9242D"/>
    <w:rsid w:val="00FE3D42"/>
    <w:rsid w:val="00FF0DDB"/>
    <w:rsid w:val="01856881"/>
    <w:rsid w:val="064F0082"/>
    <w:rsid w:val="068F00E1"/>
    <w:rsid w:val="0DFFF0BD"/>
    <w:rsid w:val="16E401CC"/>
    <w:rsid w:val="17FEAE23"/>
    <w:rsid w:val="1AB04D0D"/>
    <w:rsid w:val="22491C56"/>
    <w:rsid w:val="29907C3F"/>
    <w:rsid w:val="2BE412CA"/>
    <w:rsid w:val="2BF77F01"/>
    <w:rsid w:val="2D827D1E"/>
    <w:rsid w:val="2DDF1412"/>
    <w:rsid w:val="2EBB5743"/>
    <w:rsid w:val="2FAF12CB"/>
    <w:rsid w:val="34EC4C37"/>
    <w:rsid w:val="371E618A"/>
    <w:rsid w:val="38A8133A"/>
    <w:rsid w:val="39DB03B0"/>
    <w:rsid w:val="3BAE3495"/>
    <w:rsid w:val="3D5E0C45"/>
    <w:rsid w:val="3D8C9D9C"/>
    <w:rsid w:val="3DEF6B7F"/>
    <w:rsid w:val="3DF9B535"/>
    <w:rsid w:val="3E5BFEBB"/>
    <w:rsid w:val="3E8527A2"/>
    <w:rsid w:val="3F5BFF97"/>
    <w:rsid w:val="3FB582BA"/>
    <w:rsid w:val="3FBCD921"/>
    <w:rsid w:val="3FE35C45"/>
    <w:rsid w:val="3FEDE1CA"/>
    <w:rsid w:val="3FFD7B35"/>
    <w:rsid w:val="3FFEA4CD"/>
    <w:rsid w:val="42FFD64D"/>
    <w:rsid w:val="43CF3D31"/>
    <w:rsid w:val="47A8519E"/>
    <w:rsid w:val="492905A3"/>
    <w:rsid w:val="49F8204D"/>
    <w:rsid w:val="4A015677"/>
    <w:rsid w:val="4DAF4C6A"/>
    <w:rsid w:val="4DB9C80E"/>
    <w:rsid w:val="4DEF85D6"/>
    <w:rsid w:val="4EFF2D74"/>
    <w:rsid w:val="514F07F2"/>
    <w:rsid w:val="57FFAA0D"/>
    <w:rsid w:val="598B53B3"/>
    <w:rsid w:val="5DF5A788"/>
    <w:rsid w:val="5DF94CC4"/>
    <w:rsid w:val="5E0F1B60"/>
    <w:rsid w:val="5E6FB9DE"/>
    <w:rsid w:val="5EA2BCD7"/>
    <w:rsid w:val="5EFD56A9"/>
    <w:rsid w:val="5FFAD786"/>
    <w:rsid w:val="5FFDDDDF"/>
    <w:rsid w:val="5FFF4AED"/>
    <w:rsid w:val="613E2453"/>
    <w:rsid w:val="65FF1A55"/>
    <w:rsid w:val="67CA7EF2"/>
    <w:rsid w:val="67F6E6CD"/>
    <w:rsid w:val="6C3B420F"/>
    <w:rsid w:val="6D717C1E"/>
    <w:rsid w:val="6D7F7448"/>
    <w:rsid w:val="6DCF8957"/>
    <w:rsid w:val="6DFD77BE"/>
    <w:rsid w:val="6F7F9A34"/>
    <w:rsid w:val="6FDFCEBC"/>
    <w:rsid w:val="6FFDA015"/>
    <w:rsid w:val="6FFF827F"/>
    <w:rsid w:val="73FFECE2"/>
    <w:rsid w:val="74DD4544"/>
    <w:rsid w:val="759F3666"/>
    <w:rsid w:val="75DB226C"/>
    <w:rsid w:val="779FACE9"/>
    <w:rsid w:val="7959C340"/>
    <w:rsid w:val="79650BC3"/>
    <w:rsid w:val="79AC5FC4"/>
    <w:rsid w:val="7A6F9FA9"/>
    <w:rsid w:val="7AC57258"/>
    <w:rsid w:val="7AF9AB2C"/>
    <w:rsid w:val="7AFF566C"/>
    <w:rsid w:val="7B1240D2"/>
    <w:rsid w:val="7BBF61E5"/>
    <w:rsid w:val="7BEB4B84"/>
    <w:rsid w:val="7BFB468A"/>
    <w:rsid w:val="7BFEAD6D"/>
    <w:rsid w:val="7CEFB42A"/>
    <w:rsid w:val="7EB9FE7B"/>
    <w:rsid w:val="7ECCF7BE"/>
    <w:rsid w:val="7EFE062A"/>
    <w:rsid w:val="7F6916AB"/>
    <w:rsid w:val="7F7F3295"/>
    <w:rsid w:val="7FD7A130"/>
    <w:rsid w:val="7FDFC785"/>
    <w:rsid w:val="7FEF1831"/>
    <w:rsid w:val="7FFD207D"/>
    <w:rsid w:val="7FFD84E8"/>
    <w:rsid w:val="7FFED7BE"/>
    <w:rsid w:val="7FFFEC55"/>
    <w:rsid w:val="7FFFFE21"/>
    <w:rsid w:val="ABED53E2"/>
    <w:rsid w:val="ADA7454B"/>
    <w:rsid w:val="AEFF24F5"/>
    <w:rsid w:val="B53352C5"/>
    <w:rsid w:val="B7EF2184"/>
    <w:rsid w:val="B9EFE657"/>
    <w:rsid w:val="BB778AA5"/>
    <w:rsid w:val="BE7F91CC"/>
    <w:rsid w:val="BEAD944E"/>
    <w:rsid w:val="BEBBF232"/>
    <w:rsid w:val="BEC1CA93"/>
    <w:rsid w:val="BF7392D3"/>
    <w:rsid w:val="BF7FEFCE"/>
    <w:rsid w:val="BFEF9172"/>
    <w:rsid w:val="BFFD03CC"/>
    <w:rsid w:val="C771319E"/>
    <w:rsid w:val="C7FBD264"/>
    <w:rsid w:val="CB7E1A3F"/>
    <w:rsid w:val="CB7F0631"/>
    <w:rsid w:val="CDCCCE3D"/>
    <w:rsid w:val="D75B8B96"/>
    <w:rsid w:val="DA7FBA9E"/>
    <w:rsid w:val="DABE6AB7"/>
    <w:rsid w:val="DBF79D2E"/>
    <w:rsid w:val="DBFF77D0"/>
    <w:rsid w:val="DCF72025"/>
    <w:rsid w:val="DD576968"/>
    <w:rsid w:val="DF7EB891"/>
    <w:rsid w:val="DF971DA2"/>
    <w:rsid w:val="DFDF08CA"/>
    <w:rsid w:val="DFEDFAF5"/>
    <w:rsid w:val="DFEF61F4"/>
    <w:rsid w:val="E2FBEE32"/>
    <w:rsid w:val="E3791DEB"/>
    <w:rsid w:val="E7A93FC8"/>
    <w:rsid w:val="EAB500C2"/>
    <w:rsid w:val="EAFC834C"/>
    <w:rsid w:val="EBB5DEF1"/>
    <w:rsid w:val="ECFE728B"/>
    <w:rsid w:val="EDF75C52"/>
    <w:rsid w:val="EE728254"/>
    <w:rsid w:val="EF294B2C"/>
    <w:rsid w:val="EF7B2DFD"/>
    <w:rsid w:val="EFF55286"/>
    <w:rsid w:val="F0EF76D2"/>
    <w:rsid w:val="F1EC733F"/>
    <w:rsid w:val="F1FACCC3"/>
    <w:rsid w:val="F3FE0661"/>
    <w:rsid w:val="F3FF0E46"/>
    <w:rsid w:val="F5BD4F75"/>
    <w:rsid w:val="F5DE4AE5"/>
    <w:rsid w:val="F6D3C4F1"/>
    <w:rsid w:val="F7EB1DE4"/>
    <w:rsid w:val="F87B4DD8"/>
    <w:rsid w:val="F95F1A05"/>
    <w:rsid w:val="F9FFF610"/>
    <w:rsid w:val="FAE71BA1"/>
    <w:rsid w:val="FAF83F43"/>
    <w:rsid w:val="FB7FC798"/>
    <w:rsid w:val="FBCBE157"/>
    <w:rsid w:val="FBF3D109"/>
    <w:rsid w:val="FC73ADA7"/>
    <w:rsid w:val="FC7D76CD"/>
    <w:rsid w:val="FCFDF2E2"/>
    <w:rsid w:val="FDB90AD0"/>
    <w:rsid w:val="FDFF778B"/>
    <w:rsid w:val="FE28794E"/>
    <w:rsid w:val="FE7FA9BD"/>
    <w:rsid w:val="FF5E5185"/>
    <w:rsid w:val="FF6FA98E"/>
    <w:rsid w:val="FF6FDDAA"/>
    <w:rsid w:val="FF78D759"/>
    <w:rsid w:val="FF7B1C11"/>
    <w:rsid w:val="FFB5E6B7"/>
    <w:rsid w:val="FFD7EA12"/>
    <w:rsid w:val="FFF63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2"/>
    <w:basedOn w:val="1"/>
    <w:next w:val="1"/>
    <w:qFormat/>
    <w:uiPriority w:val="0"/>
    <w:pPr>
      <w:tabs>
        <w:tab w:val="left" w:pos="720"/>
      </w:tabs>
      <w:topLinePunct/>
      <w:adjustRightInd w:val="0"/>
      <w:snapToGrid w:val="0"/>
      <w:spacing w:beforeLines="50" w:afterLines="50" w:line="600" w:lineRule="exact"/>
      <w:jc w:val="center"/>
      <w:outlineLvl w:val="1"/>
    </w:pPr>
    <w:rPr>
      <w:rFonts w:ascii="方正小标宋简体" w:hAnsi="黑体" w:eastAsia="方正小标宋简体"/>
      <w:color w:val="000000"/>
      <w:kern w:val="0"/>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pPr>
      <w:spacing w:line="240" w:lineRule="auto"/>
    </w:pPr>
    <w:rPr>
      <w:sz w:val="18"/>
      <w:szCs w:val="18"/>
    </w:rPr>
  </w:style>
  <w:style w:type="paragraph" w:styleId="4">
    <w:name w:val="footer"/>
    <w:basedOn w:val="1"/>
    <w:link w:val="14"/>
    <w:unhideWhenUsed/>
    <w:qFormat/>
    <w:uiPriority w:val="99"/>
    <w:pPr>
      <w:tabs>
        <w:tab w:val="center" w:pos="4153"/>
        <w:tab w:val="right" w:pos="8306"/>
      </w:tabs>
      <w:overflowPunct w:val="0"/>
      <w:autoSpaceDE w:val="0"/>
      <w:autoSpaceDN w:val="0"/>
      <w:adjustRightInd w:val="0"/>
      <w:textAlignment w:val="baseline"/>
    </w:pPr>
    <w:rPr>
      <w:sz w:val="20"/>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rFonts w:ascii="微软雅黑" w:hAnsi="微软雅黑" w:eastAsia="微软雅黑"/>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unhideWhenUsed/>
    <w:qFormat/>
    <w:uiPriority w:val="99"/>
  </w:style>
  <w:style w:type="paragraph" w:customStyle="1" w:styleId="11">
    <w:name w:val="Body text|2"/>
    <w:basedOn w:val="1"/>
    <w:qFormat/>
    <w:uiPriority w:val="0"/>
    <w:pPr>
      <w:shd w:val="clear" w:color="auto" w:fill="FFFFFF"/>
      <w:spacing w:before="760" w:line="586" w:lineRule="exact"/>
      <w:jc w:val="distribute"/>
    </w:pPr>
    <w:rPr>
      <w:rFonts w:ascii="PMingLiU" w:hAnsi="PMingLiU" w:eastAsia="PMingLiU" w:cs="PMingLiU"/>
      <w:spacing w:val="30"/>
      <w:sz w:val="28"/>
      <w:szCs w:val="28"/>
    </w:rPr>
  </w:style>
  <w:style w:type="character" w:customStyle="1" w:styleId="12">
    <w:name w:val="批注框文本 字符"/>
    <w:basedOn w:val="9"/>
    <w:link w:val="3"/>
    <w:semiHidden/>
    <w:qFormat/>
    <w:uiPriority w:val="99"/>
    <w:rPr>
      <w:rFonts w:eastAsia="仿宋_GB2312"/>
      <w:spacing w:val="-6"/>
      <w:kern w:val="2"/>
      <w:sz w:val="18"/>
      <w:szCs w:val="18"/>
    </w:rPr>
  </w:style>
  <w:style w:type="character" w:customStyle="1" w:styleId="13">
    <w:name w:val="页眉 字符"/>
    <w:basedOn w:val="9"/>
    <w:link w:val="5"/>
    <w:qFormat/>
    <w:uiPriority w:val="0"/>
    <w:rPr>
      <w:rFonts w:eastAsia="仿宋_GB2312"/>
      <w:spacing w:val="-6"/>
      <w:kern w:val="2"/>
      <w:sz w:val="18"/>
      <w:szCs w:val="18"/>
    </w:rPr>
  </w:style>
  <w:style w:type="character" w:customStyle="1" w:styleId="14">
    <w:name w:val="页脚 字符"/>
    <w:basedOn w:val="9"/>
    <w:link w:val="4"/>
    <w:qFormat/>
    <w:uiPriority w:val="99"/>
    <w:rPr>
      <w:rFonts w:eastAsia="仿宋_GB2312"/>
      <w:spacing w:val="-6"/>
      <w:kern w:val="2"/>
    </w:rPr>
  </w:style>
  <w:style w:type="paragraph" w:customStyle="1" w:styleId="15">
    <w:name w:val="列出段落1"/>
    <w:basedOn w:val="1"/>
    <w:qFormat/>
    <w:uiPriority w:val="0"/>
    <w:pPr>
      <w:ind w:firstLine="420" w:firstLineChars="200"/>
    </w:pPr>
    <w:rPr>
      <w:rFonts w:ascii="等线" w:hAnsi="等线" w:eastAsia="等线"/>
      <w:sz w:val="21"/>
    </w:rPr>
  </w:style>
  <w:style w:type="paragraph" w:customStyle="1" w:styleId="16">
    <w:name w:val="p0"/>
    <w:basedOn w:val="1"/>
    <w:qFormat/>
    <w:uiPriority w:val="0"/>
    <w:rPr>
      <w:rFonts w:eastAsia="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382</Words>
  <Characters>2178</Characters>
  <Lines>18</Lines>
  <Paragraphs>5</Paragraphs>
  <TotalTime>14</TotalTime>
  <ScaleCrop>false</ScaleCrop>
  <LinksUpToDate>false</LinksUpToDate>
  <CharactersWithSpaces>2555</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2021-11-18T23:29:00Z</dcterms:created>
  <dc:creator>Administrator</dc:creator>
  <cp:lastModifiedBy>user</cp:lastModifiedBy>
  <cp:lastPrinted>2021-11-18T23:41:00Z</cp:lastPrinted>
  <dcterms:modified xsi:type="dcterms:W3CDTF">2021-11-19T20:25:23Z</dcterms:modified>
  <dc:title>附件n</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